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BE5B0D" w:rsidRPr="00DB7BA2" w:rsidP="00BE5B0D" w14:paraId="749CB810" w14:textId="2B28B3DF">
      <w:pPr>
        <w:pStyle w:val="policytitlep"/>
        <w:widowControl w:val="0"/>
      </w:pPr>
      <w:r w:rsidRPr="007318B1">
        <w:rPr>
          <w:sz w:val="40"/>
          <w:szCs w:val="44"/>
        </w:rPr>
        <mc:AlternateContent>
          <mc:Choice Requires="wps">
            <w:drawing>
              <wp:anchor distT="0" distB="0" distL="114300" distR="114300" simplePos="0" relativeHeight="251659264" behindDoc="0" locked="0" layoutInCell="1" allowOverlap="1">
                <wp:simplePos x="0" y="0"/>
                <wp:positionH relativeFrom="column">
                  <wp:posOffset>4127500</wp:posOffset>
                </wp:positionH>
                <wp:positionV relativeFrom="paragraph">
                  <wp:posOffset>208915</wp:posOffset>
                </wp:positionV>
                <wp:extent cx="2286000" cy="883285"/>
                <wp:effectExtent l="3175" t="0" r="0" b="3175"/>
                <wp:wrapNone/>
                <wp:docPr id="14366250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0" cy="883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45F66" w:rsidRPr="002B79DE" w:rsidP="00BE5B0D" w14:textId="77777777">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Location:</w:t>
                            </w:r>
                          </w:p>
                          <w:p w:rsidR="00D45F66" w:rsidRPr="002B79DE" w:rsidP="00BE5B0D" w14:textId="74857DDD">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 xml:space="preserve">Effective Date: </w:t>
                            </w:r>
                          </w:p>
                          <w:p w:rsidR="00D45F66" w:rsidRPr="002B79DE" w:rsidP="00BE5B0D" w14:textId="15849B8D">
                            <w:pPr>
                              <w:tabs>
                                <w:tab w:val="left" w:pos="5508"/>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Revision Number:</w:t>
                            </w:r>
                            <w:r w:rsidR="0008138F">
                              <w:rPr>
                                <w:rFonts w:ascii="Arial" w:hAnsi="Arial" w:cs="Arial"/>
                                <w:color w:val="404040"/>
                                <w:sz w:val="18"/>
                                <w:szCs w:val="20"/>
                              </w:rPr>
                              <w:t xml:space="preserve"> </w:t>
                            </w:r>
                            <w:r w:rsidRPr="002B79DE">
                              <w:rPr>
                                <w:rFonts w:ascii="Arial" w:hAnsi="Arial" w:cs="Arial"/>
                                <w:color w:val="404040"/>
                                <w:sz w:val="18"/>
                                <w:szCs w:val="20"/>
                              </w:rPr>
                              <w:t>1</w:t>
                            </w:r>
                          </w:p>
                          <w:p w:rsidR="00D45F66" w:rsidRPr="00754F75" w14:textId="77777777">
                            <w:pPr>
                              <w:rPr>
                                <w:color w:val="FFFFFF"/>
                              </w:rPr>
                            </w:pP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0pt;height:69.55pt;margin-top:16.45pt;margin-left:325pt;mso-height-percent:0;mso-height-relative:page;mso-width-percent:0;mso-width-relative:page;mso-wrap-distance-bottom:0;mso-wrap-distance-left:9pt;mso-wrap-distance-right:9pt;mso-wrap-distance-top:0;position:absolute;v-text-anchor:top;z-index:251658240" filled="f" fillcolor="this" stroked="f">
                <v:textbox inset="3.6pt,,3.6pt">
                  <w:txbxContent>
                    <w:p w:rsidR="00D45F66" w:rsidRPr="002B79DE" w:rsidP="00BE5B0D" w14:paraId="6706310D" w14:textId="77777777">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Location:</w:t>
                      </w:r>
                    </w:p>
                    <w:p w:rsidR="00D45F66" w:rsidRPr="002B79DE" w:rsidP="00BE5B0D" w14:paraId="7394BEB9" w14:textId="74857DDD">
                      <w:pPr>
                        <w:tabs>
                          <w:tab w:val="left" w:pos="1080"/>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 xml:space="preserve">Effective Date: </w:t>
                      </w:r>
                    </w:p>
                    <w:p w:rsidR="00D45F66" w:rsidRPr="002B79DE" w:rsidP="00BE5B0D" w14:paraId="2C65BAD7" w14:textId="15849B8D">
                      <w:pPr>
                        <w:tabs>
                          <w:tab w:val="left" w:pos="5508"/>
                          <w:tab w:val="left" w:pos="9990"/>
                        </w:tabs>
                        <w:spacing w:line="276" w:lineRule="auto"/>
                        <w:ind w:right="90"/>
                        <w:rPr>
                          <w:rFonts w:ascii="Arial" w:hAnsi="Arial" w:cs="Arial"/>
                          <w:color w:val="404040"/>
                          <w:sz w:val="18"/>
                          <w:szCs w:val="20"/>
                        </w:rPr>
                      </w:pPr>
                      <w:r w:rsidRPr="002B79DE">
                        <w:rPr>
                          <w:rFonts w:ascii="Arial" w:hAnsi="Arial" w:cs="Arial"/>
                          <w:color w:val="404040"/>
                          <w:sz w:val="18"/>
                          <w:szCs w:val="20"/>
                        </w:rPr>
                        <w:t>Revision Number:</w:t>
                      </w:r>
                      <w:r w:rsidR="0008138F">
                        <w:rPr>
                          <w:rFonts w:ascii="Arial" w:hAnsi="Arial" w:cs="Arial"/>
                          <w:color w:val="404040"/>
                          <w:sz w:val="18"/>
                          <w:szCs w:val="20"/>
                        </w:rPr>
                        <w:t xml:space="preserve"> </w:t>
                      </w:r>
                      <w:r w:rsidRPr="002B79DE">
                        <w:rPr>
                          <w:rFonts w:ascii="Arial" w:hAnsi="Arial" w:cs="Arial"/>
                          <w:color w:val="404040"/>
                          <w:sz w:val="18"/>
                          <w:szCs w:val="20"/>
                        </w:rPr>
                        <w:t>1</w:t>
                      </w:r>
                    </w:p>
                    <w:p w:rsidR="00D45F66" w:rsidRPr="00754F75" w14:paraId="55BD98DB" w14:textId="77777777">
                      <w:pPr>
                        <w:rPr>
                          <w:color w:val="FFFFFF"/>
                        </w:rPr>
                      </w:pPr>
                    </w:p>
                  </w:txbxContent>
                </v:textbox>
              </v:shape>
            </w:pict>
          </mc:Fallback>
        </mc:AlternateContent>
      </w:r>
      <w:r w:rsidRPr="007318B1" w:rsidR="00D77E1A">
        <w:rPr>
          <w:sz w:val="40"/>
          <w:szCs w:val="44"/>
        </w:rPr>
        <w:t>Workers</w:t>
      </w:r>
      <w:r w:rsidR="00D77E1A">
        <w:rPr>
          <w:sz w:val="40"/>
          <w:szCs w:val="44"/>
        </w:rPr>
        <w:t>’</w:t>
      </w:r>
      <w:r w:rsidRPr="007318B1" w:rsidR="00D77E1A">
        <w:rPr>
          <w:sz w:val="40"/>
          <w:szCs w:val="44"/>
        </w:rPr>
        <w:t xml:space="preserve"> Compensation</w:t>
      </w:r>
      <w:r w:rsidR="00D77E1A">
        <w:rPr>
          <w:sz w:val="40"/>
          <w:szCs w:val="44"/>
        </w:rPr>
        <w:t xml:space="preserve"> </w:t>
      </w:r>
      <w:r w:rsidRPr="007318B1" w:rsidR="00BE5B0D">
        <w:rPr>
          <w:sz w:val="40"/>
          <w:szCs w:val="44"/>
        </w:rPr>
        <w:t>Return</w:t>
      </w:r>
      <w:r w:rsidR="00B956B9">
        <w:rPr>
          <w:sz w:val="40"/>
          <w:szCs w:val="44"/>
        </w:rPr>
        <w:t>-</w:t>
      </w:r>
      <w:r w:rsidRPr="007318B1" w:rsidR="00B956B9">
        <w:rPr>
          <w:sz w:val="40"/>
          <w:szCs w:val="44"/>
        </w:rPr>
        <w:t>to</w:t>
      </w:r>
      <w:r w:rsidR="00B956B9">
        <w:rPr>
          <w:sz w:val="40"/>
          <w:szCs w:val="44"/>
        </w:rPr>
        <w:t>-</w:t>
      </w:r>
      <w:r w:rsidRPr="007318B1" w:rsidR="00BE5B0D">
        <w:rPr>
          <w:sz w:val="40"/>
          <w:szCs w:val="44"/>
        </w:rPr>
        <w:t>Work</w:t>
      </w:r>
      <w:r w:rsidR="00A1755C">
        <w:rPr>
          <w:sz w:val="40"/>
          <w:szCs w:val="44"/>
        </w:rPr>
        <w:t xml:space="preserve"> Policy</w:t>
      </w:r>
    </w:p>
    <w:p w:rsidR="00BE5B0D" w:rsidRPr="00D205C0" w:rsidP="00BE5B0D" w14:paraId="3B4E2151" w14:textId="77777777">
      <w:pPr>
        <w:pStyle w:val="COfficialp"/>
        <w:widowControl w:val="0"/>
        <w:rPr>
          <w:sz w:val="18"/>
        </w:rPr>
      </w:pPr>
      <w:r w:rsidRPr="00D205C0">
        <w:rPr>
          <w:sz w:val="18"/>
        </w:rPr>
        <w:t xml:space="preserve"> </w:t>
      </w:r>
    </w:p>
    <w:p w:rsidR="001F7E1F" w:rsidRPr="001F7E1F" w:rsidP="00BE5B0D" w14:paraId="3C034950" w14:textId="5BDEB669">
      <w:pPr>
        <w:pStyle w:val="headerp"/>
        <w:keepNext w:val="0"/>
        <w:widowControl w:val="0"/>
        <w:rPr>
          <w:color w:val="FF0000"/>
        </w:rPr>
      </w:pPr>
      <w:r w:rsidRPr="001F7E1F">
        <w:rPr>
          <w:color w:val="FF0000"/>
        </w:rPr>
        <w:t>[This policy is a general workers’ compensation return-to-work policy. Employers should review this policy and make the appropriate changes necessary to reflect the state law in which their company is located</w:t>
      </w:r>
      <w:r w:rsidR="00C16BD2">
        <w:rPr>
          <w:color w:val="FF0000"/>
        </w:rPr>
        <w:t>.</w:t>
      </w:r>
      <w:r w:rsidRPr="001F7E1F">
        <w:rPr>
          <w:color w:val="FF0000"/>
        </w:rPr>
        <w:t>]</w:t>
      </w:r>
    </w:p>
    <w:p w:rsidR="00BE5B0D" w:rsidP="00BE5B0D" w14:paraId="07AFC5E5" w14:textId="4D406F86">
      <w:pPr>
        <w:pStyle w:val="headerp"/>
        <w:keepNext w:val="0"/>
        <w:widowControl w:val="0"/>
      </w:pPr>
      <w:r>
        <w:t>PURPOSE</w:t>
      </w:r>
    </w:p>
    <w:p w:rsidR="00BE5B0D" w:rsidP="00BE5B0D" w14:paraId="7D479404" w14:textId="7FD8C9E3">
      <w:pPr>
        <w:pStyle w:val="bodyp"/>
        <w:widowControl w:val="0"/>
      </w:pPr>
      <w:r>
        <w:t xml:space="preserve">This </w:t>
      </w:r>
      <w:r w:rsidR="001F7E1F">
        <w:t>workers</w:t>
      </w:r>
      <w:r w:rsidR="001F7E1F">
        <w:t>’ compensation</w:t>
      </w:r>
      <w:r w:rsidR="001F7E1F">
        <w:t xml:space="preserve"> return-to-work (RTW) </w:t>
      </w:r>
      <w:r>
        <w:t xml:space="preserve">policy is in place to ensure </w:t>
      </w:r>
      <w:r w:rsidRPr="00B52426" w:rsidR="00AB0CD4">
        <w:rPr>
          <w:color w:val="auto"/>
        </w:rPr>
        <w:t xml:space="preserve"> </w:t>
      </w:r>
      <w:r>
        <w:t>provides meaningful work activity for employees who are temporarily unable to perform all or portions of their regular work assignments or duties. This policy applies to employees suffering from either work</w:t>
      </w:r>
      <w:r w:rsidR="00D45F66">
        <w:t>-</w:t>
      </w:r>
      <w:r>
        <w:t xml:space="preserve">related injury or illness. The goal is to allow valued company employees to return to productive, regular work as </w:t>
      </w:r>
      <w:r w:rsidR="00B20027">
        <w:t xml:space="preserve">safely and </w:t>
      </w:r>
      <w:r>
        <w:t xml:space="preserve">quickly as </w:t>
      </w:r>
      <w:r w:rsidRPr="00540744">
        <w:t>possible</w:t>
      </w:r>
      <w:r>
        <w:t xml:space="preserve">. By providing temporary transitional </w:t>
      </w:r>
      <w:r w:rsidR="008C0BF0">
        <w:t xml:space="preserve">work with alternative </w:t>
      </w:r>
      <w:r>
        <w:t xml:space="preserve">or modified work activity, injured </w:t>
      </w:r>
      <w:r w:rsidR="005D3AF8">
        <w:t xml:space="preserve">and recovering </w:t>
      </w:r>
      <w:r>
        <w:t xml:space="preserve">employees remain an active and vital part of the company. </w:t>
      </w:r>
    </w:p>
    <w:p w:rsidR="00BE5B0D" w:rsidP="00BE5B0D" w14:paraId="3E0655A3" w14:textId="77777777">
      <w:pPr>
        <w:pStyle w:val="headerp"/>
        <w:keepNext w:val="0"/>
        <w:widowControl w:val="0"/>
      </w:pPr>
      <w:r>
        <w:t>SCOPE</w:t>
      </w:r>
    </w:p>
    <w:p w:rsidR="00BE5B0D" w:rsidP="00BE5B0D" w14:paraId="1410358B" w14:textId="283F4AF7">
      <w:pPr>
        <w:pStyle w:val="bodyp"/>
        <w:widowControl w:val="0"/>
      </w:pPr>
      <w:r>
        <w:t xml:space="preserve">All active employees who </w:t>
      </w:r>
      <w:r w:rsidR="00627AF7">
        <w:t xml:space="preserve">are </w:t>
      </w:r>
      <w:r>
        <w:t xml:space="preserve">temporarily unable to perform their regular job </w:t>
      </w:r>
      <w:r w:rsidR="005D3AF8">
        <w:t xml:space="preserve">duties </w:t>
      </w:r>
      <w:r>
        <w:t>due to a compensable work</w:t>
      </w:r>
      <w:r w:rsidR="004862A8">
        <w:t>-</w:t>
      </w:r>
      <w:r>
        <w:t xml:space="preserve">related </w:t>
      </w:r>
      <w:r w:rsidR="00C16BD2">
        <w:t xml:space="preserve">injury </w:t>
      </w:r>
      <w:r>
        <w:t xml:space="preserve">or illness may be eligible for transitory work duties within the provisions of this program. </w:t>
      </w:r>
      <w:r w:rsidR="00C8746B">
        <w:t>RTW</w:t>
      </w:r>
      <w:r>
        <w:t xml:space="preserve"> tasks may be in the form of:</w:t>
      </w:r>
    </w:p>
    <w:p w:rsidR="00BE5B0D" w:rsidRPr="00540744" w:rsidP="00BE5B0D" w14:paraId="4CE2DB7B" w14:textId="47E8BA99">
      <w:pPr>
        <w:pStyle w:val="bulletdashp"/>
        <w:widowControl w:val="0"/>
      </w:pPr>
      <w:r>
        <w:t>Modified</w:t>
      </w:r>
      <w:r w:rsidRPr="00540744">
        <w:t xml:space="preserve"> </w:t>
      </w:r>
      <w:r w:rsidRPr="00540744">
        <w:t>duties within the scope of the employee’s current position</w:t>
      </w:r>
    </w:p>
    <w:p w:rsidR="00BE5B0D" w:rsidRPr="00540744" w:rsidP="00BE5B0D" w14:paraId="360ACA30" w14:textId="56DE1F37">
      <w:pPr>
        <w:pStyle w:val="bulletdashp"/>
        <w:widowControl w:val="0"/>
      </w:pPr>
      <w:r>
        <w:t>Alternative</w:t>
      </w:r>
      <w:r w:rsidRPr="00540744">
        <w:t xml:space="preserve"> </w:t>
      </w:r>
      <w:r w:rsidRPr="00540744">
        <w:t>jobs for which the employee qualifies</w:t>
      </w:r>
      <w:r w:rsidR="004862A8">
        <w:t>,</w:t>
      </w:r>
      <w:r w:rsidRPr="00540744">
        <w:t xml:space="preserve"> outside</w:t>
      </w:r>
      <w:r w:rsidR="004862A8">
        <w:t xml:space="preserve"> of</w:t>
      </w:r>
      <w:r w:rsidRPr="00540744">
        <w:t xml:space="preserve"> the scope of </w:t>
      </w:r>
      <w:r w:rsidR="00C16BD2">
        <w:t>thei</w:t>
      </w:r>
      <w:r w:rsidRPr="00540744">
        <w:t>r current position</w:t>
      </w:r>
    </w:p>
    <w:p w:rsidR="00BE5B0D" w:rsidRPr="00540744" w:rsidP="00BE5B0D" w14:paraId="56FB585F" w14:textId="77777777">
      <w:pPr>
        <w:pStyle w:val="bulletdashp"/>
        <w:widowControl w:val="0"/>
      </w:pPr>
      <w:r w:rsidRPr="00540744">
        <w:t>An altered schedule of work hours</w:t>
      </w:r>
    </w:p>
    <w:p w:rsidR="00BE5B0D" w:rsidP="00BE5B0D" w14:paraId="037A128D" w14:textId="77777777">
      <w:pPr>
        <w:pStyle w:val="headerp"/>
        <w:keepNext w:val="0"/>
        <w:widowControl w:val="0"/>
      </w:pPr>
      <w:r>
        <w:t>DEFINITIONS</w:t>
      </w:r>
    </w:p>
    <w:p w:rsidR="00BE5B0D" w:rsidP="0032369D" w14:paraId="7D265D1F" w14:textId="731C1013">
      <w:pPr>
        <w:pStyle w:val="bulletdashp"/>
      </w:pPr>
      <w:r>
        <w:t>“</w:t>
      </w:r>
      <w:r w:rsidRPr="00540744">
        <w:t>Transitional duty</w:t>
      </w:r>
      <w:r>
        <w:t>”</w:t>
      </w:r>
      <w:r>
        <w:t xml:space="preserve"> </w:t>
      </w:r>
      <w:r w:rsidR="0032369D">
        <w:t xml:space="preserve">is a </w:t>
      </w:r>
      <w:r w:rsidR="00CC2E65">
        <w:t xml:space="preserve">temporary </w:t>
      </w:r>
      <w:r w:rsidR="00B62636">
        <w:t xml:space="preserve">job </w:t>
      </w:r>
      <w:r w:rsidR="00CC2E65">
        <w:t xml:space="preserve">duty that is within an injured </w:t>
      </w:r>
      <w:r>
        <w:t xml:space="preserve">employee’s </w:t>
      </w:r>
      <w:r w:rsidR="00CC2E65">
        <w:t>physical</w:t>
      </w:r>
      <w:r w:rsidR="0032369D">
        <w:t xml:space="preserve"> </w:t>
      </w:r>
      <w:r w:rsidR="00CC2E65">
        <w:t xml:space="preserve">limitations established by a doctor. </w:t>
      </w:r>
      <w:r>
        <w:t xml:space="preserve">These assignments are meant to be temporary </w:t>
      </w:r>
      <w:r w:rsidR="001E4C34">
        <w:t>and will be dictated by the medical providers</w:t>
      </w:r>
      <w:r>
        <w:t>’</w:t>
      </w:r>
      <w:r w:rsidR="001E4C34">
        <w:t xml:space="preserve"> treatment parameters.</w:t>
      </w:r>
    </w:p>
    <w:p w:rsidR="00153B72" w:rsidRPr="00725D8A" w:rsidP="00BE5B0D" w14:paraId="4457C0A8" w14:textId="2482FEE7">
      <w:pPr>
        <w:pStyle w:val="bulletdashp"/>
        <w:widowControl w:val="0"/>
      </w:pPr>
      <w:r>
        <w:t>“</w:t>
      </w:r>
      <w:r>
        <w:t>Modified duty</w:t>
      </w:r>
      <w:r w:rsidR="00715C1D">
        <w:t>,</w:t>
      </w:r>
      <w:r>
        <w:t>”</w:t>
      </w:r>
      <w:r w:rsidR="00715C1D">
        <w:t xml:space="preserve"> </w:t>
      </w:r>
      <w:r w:rsidRPr="007318B1" w:rsidR="00715C1D">
        <w:t xml:space="preserve">also known as light duty, refers to a temporary work assignment provided to an employee injured on the job. This assignment is tailored to accommodate the </w:t>
      </w:r>
      <w:r w:rsidRPr="007318B1">
        <w:t>individual</w:t>
      </w:r>
      <w:r>
        <w:t>’</w:t>
      </w:r>
      <w:r w:rsidRPr="007318B1">
        <w:t xml:space="preserve">s </w:t>
      </w:r>
      <w:r w:rsidRPr="007318B1" w:rsidR="00715C1D">
        <w:t>physical limitations as they recuperate from the injury.</w:t>
      </w:r>
    </w:p>
    <w:p w:rsidR="00BE5B0D" w:rsidP="00BE5B0D" w14:paraId="43CF6D6A" w14:textId="58E91249">
      <w:pPr>
        <w:pStyle w:val="bulletdashp"/>
        <w:widowControl w:val="0"/>
      </w:pPr>
      <w:r>
        <w:rPr>
          <w:b/>
        </w:rPr>
        <w:t>“</w:t>
      </w:r>
      <w:r w:rsidRPr="00540744">
        <w:rPr>
          <w:b/>
        </w:rPr>
        <w:t>Alternate duty</w:t>
      </w:r>
      <w:r>
        <w:rPr>
          <w:b/>
        </w:rPr>
        <w:t>”</w:t>
      </w:r>
      <w:r>
        <w:t xml:space="preserve"> is designed as a placement service for individuals who</w:t>
      </w:r>
      <w:r w:rsidR="001D7AE8">
        <w:t xml:space="preserve"> cannot return to their previous job task in a modified duty or</w:t>
      </w:r>
      <w:r>
        <w:t xml:space="preserve"> have reached maximum medical improvement </w:t>
      </w:r>
      <w:r w:rsidR="003F4D28">
        <w:t xml:space="preserve">(MMI) </w:t>
      </w:r>
      <w:r>
        <w:t>and are still unable to perform the essential functions of their pre-injury job</w:t>
      </w:r>
      <w:r w:rsidR="004862A8">
        <w:t>s</w:t>
      </w:r>
      <w:r>
        <w:t xml:space="preserve">. </w:t>
      </w:r>
    </w:p>
    <w:p w:rsidR="00BE5B0D" w:rsidP="00BE5B0D" w14:paraId="07A55ECB" w14:textId="77777777">
      <w:pPr>
        <w:pStyle w:val="headerp"/>
        <w:keepNext w:val="0"/>
        <w:widowControl w:val="0"/>
      </w:pPr>
      <w:r>
        <w:t>APPLICABILITY</w:t>
      </w:r>
    </w:p>
    <w:p w:rsidR="00BE5B0D" w:rsidRPr="00540744" w:rsidP="00BE5B0D" w14:paraId="6E3238B5" w14:textId="77777777">
      <w:pPr>
        <w:pStyle w:val="bodyp"/>
        <w:widowControl w:val="0"/>
        <w:rPr>
          <w:u w:val="single"/>
        </w:rPr>
      </w:pPr>
      <w:r w:rsidRPr="00540744">
        <w:rPr>
          <w:u w:val="single"/>
        </w:rPr>
        <w:t>Length of Duty</w:t>
      </w:r>
    </w:p>
    <w:p w:rsidR="00BE5B0D" w:rsidP="00BE5B0D" w14:paraId="17B662FB" w14:textId="222E0F5F">
      <w:pPr>
        <w:pStyle w:val="bulletdashp"/>
      </w:pPr>
      <w:r>
        <w:t xml:space="preserve">If work is available that meets the limitations or restrictions </w:t>
      </w:r>
      <w:r w:rsidR="00AA6857">
        <w:t xml:space="preserve">prescribed </w:t>
      </w:r>
      <w:r>
        <w:t xml:space="preserve">by the employee’s attending practitioner, that employee may be assigned transitional or modified work for a period not to exceed </w:t>
      </w:r>
      <w:r w:rsidR="001E4C34">
        <w:t>the doctor’s treatment restrictions.</w:t>
      </w:r>
      <w:r>
        <w:t xml:space="preserve"> Transitional or light duty is a temporary program, and an employee’s eligibility in these reduced assignments will be based strictly on medical documentation and recovery progress.</w:t>
      </w:r>
    </w:p>
    <w:p w:rsidR="00BE5B0D" w:rsidP="00BE5B0D" w14:paraId="0832AC81" w14:textId="77777777">
      <w:pPr>
        <w:pStyle w:val="bodyp"/>
        <w:widowControl w:val="0"/>
      </w:pPr>
      <w:r>
        <w:rPr>
          <w:u w:val="single"/>
        </w:rPr>
        <w:br w:type="page"/>
      </w:r>
      <w:r w:rsidRPr="00540744">
        <w:rPr>
          <w:u w:val="single"/>
        </w:rPr>
        <w:t>Qualification</w:t>
      </w:r>
    </w:p>
    <w:p w:rsidR="00BE5B0D" w:rsidP="00BE5B0D" w14:paraId="1B10919B" w14:textId="728B1005">
      <w:pPr>
        <w:pStyle w:val="bulletdashp"/>
      </w:pPr>
      <w:r>
        <w:t xml:space="preserve">Transitional or modified duty will be available to all employees on a fair and equitable basis with temporary assignments based on skill and abilities. Eligibility will be based upon completion of the </w:t>
      </w:r>
      <w:r w:rsidR="001F7E1F">
        <w:t>RTW</w:t>
      </w:r>
      <w:r>
        <w:t xml:space="preserve"> Evaluation Form by the employee’s attending medical professional. An employee on modified duty will be considered part of the regular shift staffing, with recognition of the employee’s limitations within the department.</w:t>
      </w:r>
    </w:p>
    <w:p w:rsidR="00BE5B0D" w:rsidP="00BE5B0D" w14:paraId="65AE9862" w14:textId="77777777">
      <w:pPr>
        <w:pStyle w:val="headerp"/>
        <w:keepNext w:val="0"/>
        <w:widowControl w:val="0"/>
      </w:pPr>
      <w:r>
        <w:t>RESPONSIBILITIES</w:t>
      </w:r>
    </w:p>
    <w:p w:rsidR="00BE5B0D" w:rsidP="00BE5B0D" w14:paraId="7618E6D4" w14:textId="0BE95243">
      <w:pPr>
        <w:pStyle w:val="bodyp"/>
        <w:widowControl w:val="0"/>
      </w:pPr>
      <w:r>
        <w:t>The following responsibilities apply to various levels within the company</w:t>
      </w:r>
      <w:r w:rsidR="00C16BD2">
        <w:t>:</w:t>
      </w:r>
      <w:r>
        <w:t xml:space="preserve"> </w:t>
      </w:r>
    </w:p>
    <w:p w:rsidR="00BE5B0D" w:rsidP="00BE5B0D" w14:paraId="345C3D31" w14:textId="5967DCF4">
      <w:pPr>
        <w:pStyle w:val="bulletdashp"/>
        <w:widowControl w:val="0"/>
      </w:pPr>
      <w:r w:rsidRPr="00540744">
        <w:rPr>
          <w:b/>
        </w:rPr>
        <w:t>Senior management</w:t>
      </w:r>
      <w:r>
        <w:t xml:space="preserve"> will ensure the policy’s enforcement among all levels at </w:t>
      </w:r>
      <w:r w:rsidRPr="00B52426" w:rsidR="00B52426">
        <w:rPr>
          <w:color w:val="auto"/>
        </w:rPr>
        <w:t xml:space="preserve"> </w:t>
      </w:r>
      <w:r>
        <w:t xml:space="preserve">and actively promote and support this policy and the </w:t>
      </w:r>
      <w:r w:rsidR="00C8746B">
        <w:t>RTW</w:t>
      </w:r>
      <w:r>
        <w:t xml:space="preserve"> </w:t>
      </w:r>
      <w:r w:rsidR="00C16BD2">
        <w:t>p</w:t>
      </w:r>
      <w:r>
        <w:t>rogram as a whole</w:t>
      </w:r>
      <w:r>
        <w:t>.</w:t>
      </w:r>
    </w:p>
    <w:p w:rsidR="00BE5B0D" w:rsidP="00BE5B0D" w14:paraId="51A4431D" w14:textId="1683CA35">
      <w:pPr>
        <w:pStyle w:val="bulletdashp"/>
        <w:widowControl w:val="0"/>
      </w:pPr>
      <w:r w:rsidRPr="00540744">
        <w:rPr>
          <w:b/>
        </w:rPr>
        <w:t>Supervisors</w:t>
      </w:r>
      <w:r>
        <w:t xml:space="preserve"> will support the employee’s </w:t>
      </w:r>
      <w:r w:rsidR="00C8746B">
        <w:t>RTW</w:t>
      </w:r>
      <w:r>
        <w:t xml:space="preserve"> by identifying appropriate modified assignments and ensuring the employee does not exceed the </w:t>
      </w:r>
      <w:r w:rsidR="00654CA8">
        <w:t xml:space="preserve">medical professional’s </w:t>
      </w:r>
      <w:r>
        <w:t xml:space="preserve">set restrictions. Supervisors will also stay in regular contact with absent employees and </w:t>
      </w:r>
      <w:r w:rsidR="00C16BD2">
        <w:t xml:space="preserve">clearly </w:t>
      </w:r>
      <w:r>
        <w:t xml:space="preserve">communicate </w:t>
      </w:r>
      <w:r>
        <w:t xml:space="preserve">’s attendance expectations. They are also responsible for reporting any problems with employees and this policy to the </w:t>
      </w:r>
      <w:r w:rsidR="00C8746B">
        <w:t>RTW</w:t>
      </w:r>
      <w:r>
        <w:t xml:space="preserve"> manager or program supervisor.</w:t>
      </w:r>
    </w:p>
    <w:p w:rsidR="00BE5B0D" w:rsidP="00BE5B0D" w14:paraId="25AF7FDC" w14:textId="7768B13B">
      <w:pPr>
        <w:pStyle w:val="bulletdashp"/>
        <w:widowControl w:val="0"/>
      </w:pPr>
      <w:r w:rsidRPr="00540744">
        <w:rPr>
          <w:b/>
        </w:rPr>
        <w:t>Injured workers</w:t>
      </w:r>
      <w:r>
        <w:t xml:space="preserve"> will notify their supervisors in a timely manner when their condition requires an absence. </w:t>
      </w:r>
      <w:r w:rsidR="003F4D28">
        <w:t xml:space="preserve">Injured workers should also note that state law </w:t>
      </w:r>
      <w:r w:rsidR="00C16BD2">
        <w:t xml:space="preserve">often </w:t>
      </w:r>
      <w:r w:rsidR="003F4D28">
        <w:t xml:space="preserve">requires employees to report injuries and illnesses within specific time frames </w:t>
      </w:r>
      <w:r w:rsidR="003F4D28">
        <w:t>in order to</w:t>
      </w:r>
      <w:r w:rsidR="003F4D28">
        <w:t xml:space="preserve"> qualify for certain benefits</w:t>
      </w:r>
      <w:r w:rsidR="005F6EB7">
        <w:t xml:space="preserve"> and protections</w:t>
      </w:r>
      <w:r w:rsidR="003F4D28">
        <w:t xml:space="preserve">. Injured employees </w:t>
      </w:r>
      <w:r>
        <w:t>will</w:t>
      </w:r>
      <w:r w:rsidR="003F4D28">
        <w:t xml:space="preserve"> also</w:t>
      </w:r>
      <w:r>
        <w:t xml:space="preserve"> closely follow their </w:t>
      </w:r>
      <w:r w:rsidR="00654CA8">
        <w:t xml:space="preserve">medical </w:t>
      </w:r>
      <w:r w:rsidR="009D4B0A">
        <w:t>professional’s treatment</w:t>
      </w:r>
      <w:r>
        <w:t xml:space="preserve"> plan and actively participate in </w:t>
      </w:r>
      <w:r>
        <w:t xml:space="preserve">’s </w:t>
      </w:r>
      <w:r w:rsidR="00C8746B">
        <w:t>RTW</w:t>
      </w:r>
      <w:r>
        <w:t xml:space="preserve"> </w:t>
      </w:r>
      <w:r w:rsidR="00C16BD2">
        <w:t>program</w:t>
      </w:r>
      <w:r>
        <w:t xml:space="preserve">, which includes following all the guidelines of this policy. Injured employees will also help supervisors identify potential options for transitional duties. While supervisors are responsible for maintaining constant communication with the injured employee, the worker also has the obligation to maintain contact with </w:t>
      </w:r>
      <w:r w:rsidRPr="00B52426" w:rsidR="00B52426">
        <w:rPr>
          <w:color w:val="auto"/>
        </w:rPr>
        <w:t xml:space="preserve"> </w:t>
      </w:r>
      <w:r>
        <w:t xml:space="preserve">about </w:t>
      </w:r>
      <w:r w:rsidR="00C16BD2">
        <w:t>their</w:t>
      </w:r>
      <w:r w:rsidR="003A355E">
        <w:t xml:space="preserve"> </w:t>
      </w:r>
      <w:r>
        <w:t>condition and status. The injured worker will complete all required paperwork in a timely manner.</w:t>
      </w:r>
    </w:p>
    <w:p w:rsidR="00BE5B0D" w:rsidP="00BE5B0D" w14:paraId="58C8E9F8" w14:textId="3C031106">
      <w:pPr>
        <w:pStyle w:val="bulletdashp"/>
        <w:widowControl w:val="0"/>
      </w:pPr>
      <w:r>
        <w:rPr>
          <w:b/>
        </w:rPr>
        <w:t xml:space="preserve">The RTW program manager </w:t>
      </w:r>
      <w:r w:rsidRPr="000E6C90">
        <w:rPr>
          <w:bCs/>
        </w:rPr>
        <w:t xml:space="preserve">will be trained in understanding the physical and psychosocial aspects of disability and the nuances of </w:t>
      </w:r>
      <w:r w:rsidRPr="000E6C90">
        <w:rPr>
          <w:bCs/>
        </w:rPr>
        <w:t>’s RTW Program, policies</w:t>
      </w:r>
      <w:r>
        <w:t xml:space="preserve"> and all associated forms. This individual will be able to testify in court as a vocational expert if necessary. </w:t>
      </w:r>
      <w:r>
        <w:t>They</w:t>
      </w:r>
      <w:r>
        <w:t xml:space="preserve"> will provide program leadership by facilitating communication between union officials, employees, managers and medical providers. This manager will </w:t>
      </w:r>
      <w:r>
        <w:t>own</w:t>
      </w:r>
      <w:r>
        <w:t xml:space="preserve"> the responsibility of creating the </w:t>
      </w:r>
      <w:r w:rsidR="00C8746B">
        <w:t>’s</w:t>
      </w:r>
      <w:r w:rsidRPr="00327F58" w:rsidR="00327F58">
        <w:t xml:space="preserve"> </w:t>
      </w:r>
      <w:r w:rsidR="00C8746B">
        <w:t>j</w:t>
      </w:r>
      <w:r>
        <w:t xml:space="preserve">ob </w:t>
      </w:r>
      <w:r w:rsidR="00C8746B">
        <w:t>b</w:t>
      </w:r>
      <w:r>
        <w:t xml:space="preserve">ank and assist supervisors with on-site </w:t>
      </w:r>
      <w:r>
        <w:t>problem-</w:t>
      </w:r>
      <w:r>
        <w:t>solving.</w:t>
      </w:r>
    </w:p>
    <w:p w:rsidR="00BE5B0D" w:rsidP="00BE5B0D" w14:paraId="2EC4C123" w14:textId="77777777">
      <w:pPr>
        <w:pStyle w:val="headerp"/>
        <w:keepNext w:val="0"/>
        <w:widowControl w:val="0"/>
      </w:pPr>
      <w:r>
        <w:t>PROCEDURE</w:t>
      </w:r>
    </w:p>
    <w:p w:rsidR="00BE5B0D" w:rsidRPr="00540744" w:rsidP="00BE5B0D" w14:paraId="4D3220B9" w14:textId="77777777">
      <w:pPr>
        <w:pStyle w:val="bodyp"/>
        <w:widowControl w:val="0"/>
        <w:rPr>
          <w:u w:val="single"/>
        </w:rPr>
      </w:pPr>
      <w:r w:rsidRPr="00540744">
        <w:rPr>
          <w:u w:val="single"/>
        </w:rPr>
        <w:t>Work Schedule</w:t>
      </w:r>
    </w:p>
    <w:p w:rsidR="00BE5B0D" w:rsidP="00BE5B0D" w14:paraId="171E3E37" w14:textId="0C33B6F7">
      <w:pPr>
        <w:pStyle w:val="bulletdashp"/>
        <w:widowControl w:val="0"/>
      </w:pPr>
      <w:r w:rsidRPr="00B52426">
        <w:rPr>
          <w:color w:val="auto"/>
        </w:rPr>
        <w:t xml:space="preserve"> </w:t>
      </w:r>
      <w:r>
        <w:t xml:space="preserve">will do everything in its power to tailor the restricted work schedule to the injured employee’s normal, pre-condition work schedule. However, depending on the job limitations, it may be necessary for the employee to take on a specifically designed, temporary schedule to accommodate these restrictions. </w:t>
      </w:r>
    </w:p>
    <w:p w:rsidR="00BE5B0D" w:rsidRPr="00540744" w:rsidP="00BE5B0D" w14:paraId="7E4571C2" w14:textId="77777777">
      <w:pPr>
        <w:pStyle w:val="bodyp"/>
        <w:widowControl w:val="0"/>
        <w:rPr>
          <w:u w:val="single"/>
        </w:rPr>
      </w:pPr>
      <w:r w:rsidRPr="00540744">
        <w:rPr>
          <w:u w:val="single"/>
        </w:rPr>
        <w:t>Payment of Wages</w:t>
      </w:r>
    </w:p>
    <w:p w:rsidR="00BE5B0D" w:rsidP="00BE5B0D" w14:paraId="492A1F01" w14:textId="67F01350">
      <w:pPr>
        <w:pStyle w:val="bulletdashp"/>
        <w:widowControl w:val="0"/>
      </w:pPr>
      <w:r>
        <w:t xml:space="preserve">If </w:t>
      </w:r>
      <w:r w:rsidR="00226221">
        <w:t>the insurance adjuster</w:t>
      </w:r>
      <w:r>
        <w:t xml:space="preserve"> determine</w:t>
      </w:r>
      <w:r w:rsidR="00226221">
        <w:t>s</w:t>
      </w:r>
      <w:r>
        <w:t xml:space="preserve"> an employee’s injury</w:t>
      </w:r>
      <w:r w:rsidR="00226221">
        <w:t xml:space="preserve"> or illness</w:t>
      </w:r>
      <w:r>
        <w:t xml:space="preserve"> is </w:t>
      </w:r>
      <w:r w:rsidR="00C16BD2">
        <w:t>work-</w:t>
      </w:r>
      <w:r>
        <w:t xml:space="preserve">related, </w:t>
      </w:r>
      <w:r w:rsidRPr="00B52426" w:rsidR="00B52426">
        <w:rPr>
          <w:color w:val="auto"/>
        </w:rPr>
        <w:t xml:space="preserve"> </w:t>
      </w:r>
      <w:r>
        <w:t xml:space="preserve">will pay benefits and wages in accordance with the state workers’ compensation statute and with the company’s </w:t>
      </w:r>
      <w:r w:rsidR="00C16BD2">
        <w:t>HR</w:t>
      </w:r>
      <w:r>
        <w:t xml:space="preserve"> policies.</w:t>
      </w:r>
      <w:r w:rsidR="000B78B6">
        <w:t xml:space="preserve"> These benefits will be coordinated with all applicable state, federal and company benefits.</w:t>
      </w:r>
      <w:r>
        <w:t xml:space="preserve"> </w:t>
      </w:r>
    </w:p>
    <w:p w:rsidR="00BE5B0D" w:rsidP="00BE5B0D" w14:paraId="3007CC1B" w14:textId="2DEE8582">
      <w:pPr>
        <w:pStyle w:val="bulletdashp"/>
        <w:widowControl w:val="0"/>
      </w:pPr>
      <w:r>
        <w:t>Employees performing transitional duties</w:t>
      </w:r>
      <w:r w:rsidR="00C16BD2">
        <w:t>,</w:t>
      </w:r>
      <w:r>
        <w:t xml:space="preserve"> either modified or alternate duties</w:t>
      </w:r>
      <w:r w:rsidR="00C16BD2">
        <w:t>,</w:t>
      </w:r>
      <w:r>
        <w:t xml:space="preserve"> will be compensated through the employer </w:t>
      </w:r>
      <w:r w:rsidR="003C6A2C">
        <w:t>or</w:t>
      </w:r>
      <w:r>
        <w:t xml:space="preserve"> benefit payment through workers’ compensation</w:t>
      </w:r>
      <w:r w:rsidR="00C16BD2">
        <w:t>,</w:t>
      </w:r>
      <w:r w:rsidR="003C6A2C">
        <w:t xml:space="preserve"> dependent on circumstances</w:t>
      </w:r>
      <w:r>
        <w:t xml:space="preserve">. </w:t>
      </w:r>
      <w:r>
        <w:t>Employees performing transitional dut</w:t>
      </w:r>
      <w:r>
        <w:t>ies</w:t>
      </w:r>
      <w:r w:rsidR="00C16BD2">
        <w:t>,</w:t>
      </w:r>
      <w:r>
        <w:t xml:space="preserve"> either modified or alternate duties</w:t>
      </w:r>
      <w:r w:rsidR="00C16BD2">
        <w:t>,</w:t>
      </w:r>
      <w:r>
        <w:t xml:space="preserve"> </w:t>
      </w:r>
      <w:r>
        <w:t xml:space="preserve">following a period of </w:t>
      </w:r>
      <w:r w:rsidR="009D4B0A">
        <w:t>short-term</w:t>
      </w:r>
      <w:r>
        <w:t xml:space="preserve"> </w:t>
      </w:r>
      <w:r w:rsidR="00D45F66">
        <w:t>d</w:t>
      </w:r>
      <w:r>
        <w:t>isability</w:t>
      </w:r>
      <w:r w:rsidR="00C16BD2">
        <w:t>,</w:t>
      </w:r>
      <w:r>
        <w:t xml:space="preserve"> may receive a combination of regular pay and partial disability benefits. The employee and the </w:t>
      </w:r>
      <w:r w:rsidRPr="000E6C90" w:rsidR="00C16BD2">
        <w:t>’s</w:t>
      </w:r>
      <w:r w:rsidRPr="00327F58" w:rsidR="00327F58">
        <w:t xml:space="preserve"> </w:t>
      </w:r>
      <w:r w:rsidR="00C16BD2">
        <w:t>HR</w:t>
      </w:r>
      <w:r>
        <w:t xml:space="preserve"> </w:t>
      </w:r>
      <w:r w:rsidR="00D45F66">
        <w:t>d</w:t>
      </w:r>
      <w:r>
        <w:t>epartment will work out this combination on a case-by-case basis.</w:t>
      </w:r>
    </w:p>
    <w:p w:rsidR="00BE5B0D" w:rsidP="00BE5B0D" w14:paraId="362DFB94" w14:textId="25FCD076">
      <w:pPr>
        <w:pStyle w:val="bulletdashp"/>
        <w:widowControl w:val="0"/>
      </w:pPr>
      <w:r>
        <w:t xml:space="preserve">If employees take </w:t>
      </w:r>
      <w:r w:rsidR="00C16BD2">
        <w:t xml:space="preserve">a </w:t>
      </w:r>
      <w:r>
        <w:t>vacation or there is a holiday during restricted duty, they are entitled to their regular vacation selection or holiday pay as it would apply to normal, nonrestricted duty.</w:t>
      </w:r>
      <w:r w:rsidR="002F73BD">
        <w:t xml:space="preserve"> </w:t>
      </w:r>
      <w:r w:rsidR="002F73BD">
        <w:rPr>
          <w:color w:val="FF0000"/>
        </w:rPr>
        <w:t>[Employer</w:t>
      </w:r>
      <w:r w:rsidR="0024336C">
        <w:rPr>
          <w:color w:val="FF0000"/>
        </w:rPr>
        <w:t>s should verify any workers’ compensation or disability benefit plan’s language pertaining to payment adjustments for vacation or holiday pay.]</w:t>
      </w:r>
    </w:p>
    <w:p w:rsidR="00BE5B0D" w:rsidRPr="00540744" w:rsidP="00BE5B0D" w14:paraId="1D193974" w14:textId="77777777">
      <w:pPr>
        <w:pStyle w:val="bodyp"/>
        <w:widowControl w:val="0"/>
        <w:rPr>
          <w:u w:val="single"/>
        </w:rPr>
      </w:pPr>
      <w:r w:rsidRPr="00540744">
        <w:rPr>
          <w:u w:val="single"/>
        </w:rPr>
        <w:t>Communication Expectations</w:t>
      </w:r>
    </w:p>
    <w:p w:rsidR="00BE5B0D" w:rsidP="00BE5B0D" w14:paraId="6BBDE510" w14:textId="5B134715">
      <w:pPr>
        <w:pStyle w:val="bulletdashp"/>
        <w:widowControl w:val="0"/>
      </w:pPr>
      <w:r>
        <w:t xml:space="preserve">If an employee is unable to work in any capacity and the company approves of the absences, the employee must stay in communication with the </w:t>
      </w:r>
      <w:r w:rsidR="00C8746B">
        <w:t>RTW</w:t>
      </w:r>
      <w:r>
        <w:t xml:space="preserve"> </w:t>
      </w:r>
      <w:r w:rsidR="00C16BD2">
        <w:t xml:space="preserve">program manager </w:t>
      </w:r>
      <w:r w:rsidR="000C777D">
        <w:t xml:space="preserve">or </w:t>
      </w:r>
      <w:r w:rsidR="00C16BD2">
        <w:t>HR</w:t>
      </w:r>
      <w:r w:rsidR="000C777D">
        <w:t xml:space="preserve"> contact person.</w:t>
      </w:r>
      <w:r>
        <w:t xml:space="preserve"> </w:t>
      </w:r>
      <w:r w:rsidR="000C777D">
        <w:t xml:space="preserve">The RTW program manager or HR contact person </w:t>
      </w:r>
      <w:r>
        <w:t xml:space="preserve">must receive an update of the employee’s medical status on at least a weekly basis. </w:t>
      </w:r>
      <w:r w:rsidR="004F423C">
        <w:t>In addition</w:t>
      </w:r>
      <w:r w:rsidR="00C16BD2">
        <w:t xml:space="preserve"> </w:t>
      </w:r>
      <w:r w:rsidR="004F423C">
        <w:t xml:space="preserve">to a weekly update, if the employee is seen by the doctor or receives a new restriction sheet, the employee must provide that information to </w:t>
      </w:r>
      <w:r w:rsidR="00C16BD2">
        <w:t xml:space="preserve">the </w:t>
      </w:r>
      <w:r w:rsidR="004F423C">
        <w:t>RTW program manager or the HR contact person as soon as possible after the visit.</w:t>
      </w:r>
    </w:p>
    <w:p w:rsidR="00BE5B0D" w:rsidRPr="00540744" w:rsidP="00BE5B0D" w14:paraId="6F09936A" w14:textId="77777777">
      <w:pPr>
        <w:pStyle w:val="bodyp"/>
        <w:widowControl w:val="0"/>
        <w:rPr>
          <w:u w:val="single"/>
        </w:rPr>
      </w:pPr>
      <w:r w:rsidRPr="00540744">
        <w:rPr>
          <w:u w:val="single"/>
        </w:rPr>
        <w:t>Medical Appointments</w:t>
      </w:r>
    </w:p>
    <w:p w:rsidR="00BE5B0D" w:rsidP="00BE5B0D" w14:paraId="5D694C68" w14:textId="23573798">
      <w:pPr>
        <w:pStyle w:val="bulletdashp"/>
        <w:widowControl w:val="0"/>
      </w:pPr>
      <w:r w:rsidRPr="00B52426">
        <w:rPr>
          <w:color w:val="auto"/>
        </w:rPr>
        <w:t xml:space="preserve"> </w:t>
      </w:r>
      <w:r w:rsidR="0024336C">
        <w:t>asks that, when possible,</w:t>
      </w:r>
      <w:r>
        <w:t xml:space="preserve"> employees schedule medical appointments </w:t>
      </w:r>
      <w:r w:rsidR="00B11E59">
        <w:t xml:space="preserve">at times resulting in the least interference with </w:t>
      </w:r>
      <w:r>
        <w:t xml:space="preserve">work hours. </w:t>
      </w:r>
      <w:r w:rsidRPr="000E6C90" w:rsidR="004F423C">
        <w:rPr>
          <w:color w:val="FF0000"/>
        </w:rPr>
        <w:t xml:space="preserve">[Employers should check state laws to determine if </w:t>
      </w:r>
      <w:r w:rsidRPr="000E6C90" w:rsidR="0098554C">
        <w:rPr>
          <w:color w:val="FF0000"/>
        </w:rPr>
        <w:t xml:space="preserve">using </w:t>
      </w:r>
      <w:r w:rsidR="00C16BD2">
        <w:rPr>
          <w:color w:val="FF0000"/>
        </w:rPr>
        <w:t>paid time off</w:t>
      </w:r>
      <w:r w:rsidRPr="000E6C90" w:rsidR="00C16BD2">
        <w:rPr>
          <w:color w:val="FF0000"/>
        </w:rPr>
        <w:t xml:space="preserve"> </w:t>
      </w:r>
      <w:r w:rsidRPr="000E6C90" w:rsidR="0098554C">
        <w:rPr>
          <w:color w:val="FF0000"/>
        </w:rPr>
        <w:t xml:space="preserve">for workers’ </w:t>
      </w:r>
      <w:r w:rsidRPr="000E6C90" w:rsidR="00C16BD2">
        <w:rPr>
          <w:color w:val="FF0000"/>
        </w:rPr>
        <w:t>compensation-</w:t>
      </w:r>
      <w:r w:rsidRPr="000E6C90" w:rsidR="0098554C">
        <w:rPr>
          <w:color w:val="FF0000"/>
        </w:rPr>
        <w:t>related medical appointments is legal]</w:t>
      </w:r>
      <w:r w:rsidR="0098554C">
        <w:t xml:space="preserve">. </w:t>
      </w:r>
      <w:r w:rsidR="00B11E59">
        <w:t xml:space="preserve">Employees should inform their superiors of all medical appointments as soon as possible. </w:t>
      </w:r>
      <w:r>
        <w:t>Nonemergency medical appointments not scheduled in advance may be cause for denial of time off.</w:t>
      </w:r>
    </w:p>
    <w:p w:rsidR="00BE5B0D" w:rsidP="00BE5B0D" w14:paraId="2BA51836" w14:textId="5DD5DAE1">
      <w:pPr>
        <w:pStyle w:val="bulletdashp"/>
        <w:widowControl w:val="0"/>
      </w:pPr>
      <w:r>
        <w:t xml:space="preserve">The employee’s </w:t>
      </w:r>
      <w:r w:rsidR="00587F15">
        <w:t xml:space="preserve">medical provider </w:t>
      </w:r>
      <w:r>
        <w:t xml:space="preserve">must complete the </w:t>
      </w:r>
      <w:r w:rsidRPr="00B52426" w:rsidR="00B52426">
        <w:rPr>
          <w:color w:val="auto"/>
        </w:rPr>
        <w:t xml:space="preserve"> </w:t>
      </w:r>
      <w:r w:rsidR="00C8746B">
        <w:t>RTW</w:t>
      </w:r>
      <w:r>
        <w:t xml:space="preserve"> Evaluation Form for each visit to evaluate the</w:t>
      </w:r>
      <w:r w:rsidR="005F6EB7">
        <w:t xml:space="preserve"> employee’s</w:t>
      </w:r>
      <w:r>
        <w:t xml:space="preserve"> </w:t>
      </w:r>
      <w:r w:rsidR="0098554C">
        <w:t>injury or illness</w:t>
      </w:r>
      <w:r>
        <w:t xml:space="preserve">. It is the employee’s responsibility to inform </w:t>
      </w:r>
      <w:r w:rsidRPr="00B52426" w:rsidR="00B52426">
        <w:rPr>
          <w:color w:val="auto"/>
        </w:rPr>
        <w:t xml:space="preserve"> </w:t>
      </w:r>
      <w:r>
        <w:t xml:space="preserve">of </w:t>
      </w:r>
      <w:r w:rsidR="00C16BD2">
        <w:t>thei</w:t>
      </w:r>
      <w:r>
        <w:t xml:space="preserve">r medical status after each doctor visit. </w:t>
      </w:r>
    </w:p>
    <w:p w:rsidR="00BE5B0D" w:rsidRPr="00540744" w:rsidP="00BE5B0D" w14:paraId="779E8EB4" w14:textId="77777777">
      <w:pPr>
        <w:pStyle w:val="bodyp"/>
        <w:widowControl w:val="0"/>
        <w:rPr>
          <w:u w:val="single"/>
        </w:rPr>
      </w:pPr>
      <w:r w:rsidRPr="00540744">
        <w:rPr>
          <w:u w:val="single"/>
        </w:rPr>
        <w:t>Employee Procedures</w:t>
      </w:r>
    </w:p>
    <w:p w:rsidR="00BE5B0D" w:rsidP="00BE5B0D" w14:paraId="18D58D59" w14:textId="6811B53D">
      <w:pPr>
        <w:pStyle w:val="bulletdashp"/>
        <w:widowControl w:val="0"/>
        <w:numPr>
          <w:ilvl w:val="0"/>
          <w:numId w:val="10"/>
        </w:numPr>
      </w:pPr>
      <w:r>
        <w:t xml:space="preserve">In the event an injury or illness is </w:t>
      </w:r>
      <w:r w:rsidR="00C16BD2">
        <w:t>work-</w:t>
      </w:r>
      <w:r>
        <w:t xml:space="preserve">related, report it to your supervisor </w:t>
      </w:r>
      <w:r w:rsidR="005F6EB7">
        <w:t>as soon as practicable</w:t>
      </w:r>
      <w:r>
        <w:t>.</w:t>
      </w:r>
    </w:p>
    <w:p w:rsidR="00BE5B0D" w:rsidP="00BE5B0D" w14:paraId="539C4FD8" w14:textId="77777777">
      <w:pPr>
        <w:pStyle w:val="bulletdashp"/>
        <w:widowControl w:val="0"/>
        <w:numPr>
          <w:ilvl w:val="0"/>
          <w:numId w:val="10"/>
        </w:numPr>
      </w:pPr>
      <w:r>
        <w:t>Complete and sign a Report of Injury Form.</w:t>
      </w:r>
    </w:p>
    <w:p w:rsidR="00BE5B0D" w:rsidP="00BE5B0D" w14:paraId="2EAFFA5F" w14:textId="0BEF7606">
      <w:pPr>
        <w:pStyle w:val="bulletdashp"/>
        <w:widowControl w:val="0"/>
        <w:numPr>
          <w:ilvl w:val="0"/>
          <w:numId w:val="10"/>
        </w:numPr>
      </w:pPr>
      <w:r>
        <w:t>Let your supervisor know that you are seeking medical treatment and obtain a</w:t>
      </w:r>
      <w:r w:rsidR="00C16BD2">
        <w:t>n</w:t>
      </w:r>
      <w:r>
        <w:t xml:space="preserve"> </w:t>
      </w:r>
      <w:r w:rsidR="00C8746B">
        <w:t>RTW</w:t>
      </w:r>
      <w:r>
        <w:t xml:space="preserve"> Evaluation Form. The </w:t>
      </w:r>
      <w:r w:rsidR="00C8746B">
        <w:t>RTW</w:t>
      </w:r>
      <w:r>
        <w:t xml:space="preserve"> Evaluation form must be completed for each practitioner visit regardless of your choice of physician and whether the condition is </w:t>
      </w:r>
      <w:r w:rsidR="00C16BD2">
        <w:t>work-</w:t>
      </w:r>
      <w:r>
        <w:t>related or not.</w:t>
      </w:r>
    </w:p>
    <w:p w:rsidR="00BE5B0D" w:rsidP="00BE5B0D" w14:paraId="3024CD61" w14:textId="7C8F8BF5">
      <w:pPr>
        <w:pStyle w:val="bulletdashp"/>
        <w:widowControl w:val="0"/>
        <w:numPr>
          <w:ilvl w:val="0"/>
          <w:numId w:val="10"/>
        </w:numPr>
      </w:pPr>
      <w:r>
        <w:t xml:space="preserve">Participate in the </w:t>
      </w:r>
      <w:r w:rsidR="00C8746B">
        <w:t>RTW</w:t>
      </w:r>
      <w:r>
        <w:t xml:space="preserve"> </w:t>
      </w:r>
      <w:r w:rsidR="00C16BD2">
        <w:t xml:space="preserve">program </w:t>
      </w:r>
      <w:r>
        <w:t xml:space="preserve">while your </w:t>
      </w:r>
      <w:r w:rsidR="00587F15">
        <w:t xml:space="preserve">medical provider </w:t>
      </w:r>
      <w:r>
        <w:t>and supervisor continuously review your condition.</w:t>
      </w:r>
    </w:p>
    <w:p w:rsidR="00BE5B0D" w:rsidP="00BE5B0D" w14:paraId="0EE7C4EE" w14:textId="77777777">
      <w:pPr>
        <w:pStyle w:val="headerp"/>
        <w:keepNext w:val="0"/>
        <w:widowControl w:val="0"/>
      </w:pPr>
      <w:r>
        <w:t>REFUSAL TO PARTICIPATE</w:t>
      </w:r>
    </w:p>
    <w:p w:rsidR="00BE5B0D" w:rsidP="00BE5B0D" w14:paraId="6C7A84E6" w14:textId="1BE09140">
      <w:pPr>
        <w:pStyle w:val="bodyp"/>
        <w:widowControl w:val="0"/>
      </w:pPr>
      <w:r>
        <w:t xml:space="preserve">If you are unable to return to your regular job but </w:t>
      </w:r>
      <w:r>
        <w:t>are capable of performing</w:t>
      </w:r>
      <w:r>
        <w:t xml:space="preserve"> transitional duty, you must return to transitional duty. Employees who choose not to participate in the </w:t>
      </w:r>
      <w:r w:rsidRPr="00B52426" w:rsidR="00B52426">
        <w:rPr>
          <w:color w:val="auto"/>
        </w:rPr>
        <w:t xml:space="preserve"> </w:t>
      </w:r>
      <w:r w:rsidR="00C8746B">
        <w:t>RTW</w:t>
      </w:r>
      <w:r>
        <w:t xml:space="preserve"> </w:t>
      </w:r>
      <w:r w:rsidR="00C16BD2">
        <w:t>p</w:t>
      </w:r>
      <w:r>
        <w:t xml:space="preserve">rogram or follow all </w:t>
      </w:r>
      <w:r w:rsidR="00FA2677">
        <w:t xml:space="preserve">requirements </w:t>
      </w:r>
      <w:r>
        <w:t xml:space="preserve">in this </w:t>
      </w:r>
      <w:r w:rsidR="00C8746B">
        <w:t>RTW</w:t>
      </w:r>
      <w:r>
        <w:t xml:space="preserve"> </w:t>
      </w:r>
      <w:r w:rsidR="00C16BD2">
        <w:t xml:space="preserve">policy </w:t>
      </w:r>
      <w:r>
        <w:t>may become ineligible for state workers’ compensation benefits</w:t>
      </w:r>
      <w:r w:rsidR="003A355E">
        <w:t>,</w:t>
      </w:r>
      <w:r>
        <w:t xml:space="preserve"> and, in some cases, refusal to participate may be a basis for termination. Unpaid </w:t>
      </w:r>
      <w:r w:rsidR="003A355E">
        <w:t>f</w:t>
      </w:r>
      <w:r>
        <w:t xml:space="preserve">amily </w:t>
      </w:r>
      <w:r w:rsidR="003A355E">
        <w:t>m</w:t>
      </w:r>
      <w:r>
        <w:t xml:space="preserve">edical </w:t>
      </w:r>
      <w:r w:rsidR="003A355E">
        <w:t>l</w:t>
      </w:r>
      <w:r>
        <w:t xml:space="preserve">eave </w:t>
      </w:r>
      <w:r w:rsidR="0081617F">
        <w:t xml:space="preserve">may </w:t>
      </w:r>
      <w:r>
        <w:t>apply upon refusal</w:t>
      </w:r>
      <w:r w:rsidR="00C16BD2">
        <w:t>,</w:t>
      </w:r>
      <w:r>
        <w:t xml:space="preserve"> and disability benefits will cease.</w:t>
      </w:r>
    </w:p>
    <w:p w:rsidR="00BE5B0D" w:rsidP="00BE5B0D" w14:paraId="33494C5D" w14:textId="77777777">
      <w:pPr>
        <w:pStyle w:val="headerp"/>
        <w:keepNext w:val="0"/>
        <w:widowControl w:val="0"/>
      </w:pPr>
      <w:r>
        <w:t>FAMILY MEDICAL LEAVE</w:t>
      </w:r>
      <w:r w:rsidR="008C42A6">
        <w:t xml:space="preserve"> AND OTHER BENEFITS</w:t>
      </w:r>
    </w:p>
    <w:p w:rsidR="00BE5B0D" w:rsidP="00BE5B0D" w14:paraId="1E035957" w14:textId="0623FDBF">
      <w:pPr>
        <w:pStyle w:val="bodyp"/>
        <w:widowControl w:val="0"/>
      </w:pPr>
      <w:r>
        <w:t>State or federal leave laws may provide additional rights and protections during times of illness or injury. Lost wages may be reimburse</w:t>
      </w:r>
      <w:r w:rsidR="00416D4D">
        <w:t>d</w:t>
      </w:r>
      <w:r>
        <w:t xml:space="preserve"> if disability benefits are available. C</w:t>
      </w:r>
      <w:r>
        <w:t xml:space="preserve">ontact the </w:t>
      </w:r>
      <w:r w:rsidR="00C16BD2">
        <w:t>HR</w:t>
      </w:r>
      <w:r>
        <w:t xml:space="preserve"> </w:t>
      </w:r>
      <w:r w:rsidR="003A355E">
        <w:t>d</w:t>
      </w:r>
      <w:r>
        <w:t>epartment for further details.</w:t>
      </w:r>
    </w:p>
    <w:p w:rsidR="00BE5B0D" w:rsidP="00BE5B0D" w14:paraId="01871203" w14:textId="77777777">
      <w:pPr>
        <w:pStyle w:val="bodyp"/>
        <w:widowControl w:val="0"/>
        <w:sectPr w:rsidSect="00CB0F26">
          <w:footerReference w:type="default" r:id="rId5"/>
          <w:headerReference w:type="first" r:id="rId6"/>
          <w:footerReference w:type="first" r:id="rId7"/>
          <w:pgSz w:w="12240" w:h="15840" w:code="1"/>
          <w:pgMar w:top="1080" w:right="1080" w:bottom="1627" w:left="1080" w:header="720" w:footer="720" w:gutter="0"/>
          <w:cols w:space="720"/>
          <w:titlePg/>
          <w:docGrid w:linePitch="360"/>
        </w:sectPr>
      </w:pPr>
    </w:p>
    <w:p w:rsidR="00BE5B0D" w:rsidRPr="00024739" w:rsidP="00BE5B0D" w14:paraId="35CAA16E" w14:textId="77777777">
      <w:pPr>
        <w:pStyle w:val="COfficialp"/>
        <w:widowControl w:val="0"/>
        <w:spacing w:after="0"/>
      </w:pPr>
    </w:p>
    <w:p w:rsidR="00BE5B0D" w:rsidP="00BE5B0D" w14:paraId="399FD679" w14:textId="080EC873">
      <w:pPr>
        <w:pStyle w:val="COfficialp"/>
        <w:widowControl w:val="0"/>
        <w:spacing w:after="0"/>
        <w:rPr>
          <w:b/>
        </w:rPr>
      </w:pPr>
      <w:r w:rsidRPr="00024739">
        <w:t>Return</w:t>
      </w:r>
      <w:r>
        <w:t>-</w:t>
      </w:r>
      <w:r w:rsidRPr="00024739">
        <w:t>to</w:t>
      </w:r>
      <w:r>
        <w:t>-</w:t>
      </w:r>
      <w:r w:rsidRPr="00024739">
        <w:t>Work Policy</w:t>
      </w:r>
    </w:p>
    <w:p w:rsidR="00BE5B0D" w:rsidP="00BE5B0D" w14:paraId="43F3B946" w14:textId="77777777">
      <w:pPr>
        <w:pStyle w:val="longpolicytitlep"/>
      </w:pPr>
      <w:r w:rsidRPr="00056692">
        <w:t>Employee Acknowledgement</w:t>
      </w:r>
    </w:p>
    <w:p w:rsidR="00BE5B0D" w:rsidRPr="00056692" w:rsidP="00BE5B0D" w14:paraId="781779AF" w14:textId="77777777">
      <w:pPr>
        <w:pStyle w:val="bodyp"/>
      </w:pPr>
    </w:p>
    <w:p w:rsidR="00BE5B0D" w:rsidP="00BE5B0D" w14:paraId="37A424D0" w14:textId="208AD600">
      <w:pPr>
        <w:pStyle w:val="bodyp"/>
        <w:widowControl w:val="0"/>
      </w:pPr>
      <w:r w:rsidR="00FA2677">
        <w:t>’s</w:t>
      </w:r>
      <w:r>
        <w:t xml:space="preserve"> primary goal is to accommodate injured </w:t>
      </w:r>
      <w:r w:rsidR="0081617F">
        <w:t xml:space="preserve">and recovering </w:t>
      </w:r>
      <w:r>
        <w:t xml:space="preserve">workers by identifying or modifying jobs to meet their physical capacities and allowing them to </w:t>
      </w:r>
      <w:r w:rsidR="00C8746B">
        <w:t>RTW</w:t>
      </w:r>
      <w:r>
        <w:t xml:space="preserve"> as quickly and smoothly as possible. The company is committed to individualizing </w:t>
      </w:r>
      <w:r w:rsidR="00C8746B">
        <w:t>RTW</w:t>
      </w:r>
      <w:r>
        <w:t xml:space="preserve"> programs based </w:t>
      </w:r>
      <w:r w:rsidR="00C16BD2">
        <w:t xml:space="preserve">on </w:t>
      </w:r>
      <w:r>
        <w:t>the individual’s physical capabilities and will review all task assignments regularly to ensure duties are appropriate.</w:t>
      </w:r>
    </w:p>
    <w:p w:rsidR="00BE5B0D" w:rsidP="00BE5B0D" w14:paraId="2F250B51" w14:textId="61713686">
      <w:pPr>
        <w:pStyle w:val="bodyp"/>
        <w:widowControl w:val="0"/>
      </w:pPr>
      <w:r>
        <w:t xml:space="preserve">We are committed to early </w:t>
      </w:r>
      <w:r w:rsidR="00C8746B">
        <w:t>RTW</w:t>
      </w:r>
      <w:r>
        <w:t xml:space="preserve"> and recognize that it speeds up the recovery process and reduces the likelihood of permanent disability. </w:t>
      </w:r>
      <w:r w:rsidRPr="00B52426" w:rsidR="007F12DA">
        <w:rPr>
          <w:color w:val="auto"/>
        </w:rPr>
        <w:t xml:space="preserve"> </w:t>
      </w:r>
      <w:r>
        <w:t xml:space="preserve">employees are expected to show the same commitment to the program by following the </w:t>
      </w:r>
      <w:r w:rsidR="00C8746B">
        <w:t>RTW</w:t>
      </w:r>
      <w:r>
        <w:t xml:space="preserve"> </w:t>
      </w:r>
      <w:r w:rsidR="00C16BD2">
        <w:t>p</w:t>
      </w:r>
      <w:r>
        <w:t xml:space="preserve">olicy and all guidelines of the </w:t>
      </w:r>
      <w:r w:rsidR="00C8746B">
        <w:t>RTW</w:t>
      </w:r>
      <w:r>
        <w:t xml:space="preserve"> </w:t>
      </w:r>
      <w:r w:rsidR="00C16BD2">
        <w:t>p</w:t>
      </w:r>
      <w:r>
        <w:t xml:space="preserve">rogram. The </w:t>
      </w:r>
      <w:r w:rsidR="00C8746B">
        <w:t>RTW</w:t>
      </w:r>
      <w:r>
        <w:t xml:space="preserve"> </w:t>
      </w:r>
      <w:r w:rsidR="00C16BD2">
        <w:t>p</w:t>
      </w:r>
      <w:r>
        <w:t xml:space="preserve">rogram requires a team approach, so employees are expected to cooperate with the management team, supervisors and medical staff should they ever become injured and unable to perform </w:t>
      </w:r>
      <w:r w:rsidR="00C16BD2">
        <w:t xml:space="preserve">their </w:t>
      </w:r>
      <w:r>
        <w:t xml:space="preserve">full job duties. </w:t>
      </w:r>
    </w:p>
    <w:p w:rsidR="00BE5B0D" w:rsidP="00BE5B0D" w14:paraId="3B2FEE67" w14:textId="0B3F451D">
      <w:pPr>
        <w:pStyle w:val="bodyp"/>
        <w:widowControl w:val="0"/>
      </w:pPr>
      <w:r>
        <w:t xml:space="preserve">Prior to working on any </w:t>
      </w:r>
      <w:r w:rsidRPr="00B52426" w:rsidR="00B52426">
        <w:rPr>
          <w:color w:val="auto"/>
        </w:rPr>
        <w:t xml:space="preserve"> </w:t>
      </w:r>
      <w:r>
        <w:t xml:space="preserve">job site, each employee is expected to have read the entire </w:t>
      </w:r>
      <w:r w:rsidR="00C8746B">
        <w:t>RTW</w:t>
      </w:r>
      <w:r>
        <w:t xml:space="preserve"> </w:t>
      </w:r>
      <w:r w:rsidR="00C16BD2">
        <w:t>p</w:t>
      </w:r>
      <w:r>
        <w:t>olicy, which includes the following sections:</w:t>
      </w:r>
    </w:p>
    <w:p w:rsidR="00BE5B0D" w:rsidRPr="003D217F" w:rsidP="00BE5B0D" w14:paraId="38D9C64D" w14:textId="77777777">
      <w:pPr>
        <w:pStyle w:val="bulletdashp"/>
        <w:widowControl w:val="0"/>
      </w:pPr>
      <w:r w:rsidRPr="003D217F">
        <w:t>Purpose</w:t>
      </w:r>
    </w:p>
    <w:p w:rsidR="00BE5B0D" w:rsidP="00BE5B0D" w14:paraId="15994C7F" w14:textId="77777777">
      <w:pPr>
        <w:pStyle w:val="bulletdashp"/>
        <w:widowControl w:val="0"/>
      </w:pPr>
      <w:r w:rsidRPr="003D217F">
        <w:t>Scope</w:t>
      </w:r>
    </w:p>
    <w:p w:rsidR="000E6C90" w:rsidRPr="003D217F" w:rsidP="00BE5B0D" w14:paraId="6F840B1B" w14:textId="17B25EFC">
      <w:pPr>
        <w:pStyle w:val="bulletdashp"/>
        <w:widowControl w:val="0"/>
      </w:pPr>
      <w:r>
        <w:t>Definitions</w:t>
      </w:r>
    </w:p>
    <w:p w:rsidR="00BE5B0D" w:rsidRPr="003D217F" w:rsidP="00BE5B0D" w14:paraId="3518536B" w14:textId="77777777">
      <w:pPr>
        <w:pStyle w:val="bulletdashp"/>
        <w:widowControl w:val="0"/>
      </w:pPr>
      <w:r w:rsidRPr="003D217F">
        <w:t>Applicability</w:t>
      </w:r>
    </w:p>
    <w:p w:rsidR="00BE5B0D" w:rsidRPr="003D217F" w:rsidP="00BE5B0D" w14:paraId="0144FAF4" w14:textId="77777777">
      <w:pPr>
        <w:pStyle w:val="bulletdashp"/>
        <w:widowControl w:val="0"/>
      </w:pPr>
      <w:r w:rsidRPr="003D217F">
        <w:t>Responsibilities</w:t>
      </w:r>
    </w:p>
    <w:p w:rsidR="00BE5B0D" w:rsidRPr="003D217F" w:rsidP="00BE5B0D" w14:paraId="4E5C1644" w14:textId="77777777">
      <w:pPr>
        <w:pStyle w:val="bulletdashp"/>
        <w:widowControl w:val="0"/>
      </w:pPr>
      <w:r w:rsidRPr="003D217F">
        <w:t>Procedure</w:t>
      </w:r>
    </w:p>
    <w:p w:rsidR="00BE5B0D" w:rsidRPr="003D217F" w:rsidP="00BE5B0D" w14:paraId="3DCF0E50" w14:textId="77777777">
      <w:pPr>
        <w:pStyle w:val="bulletdashp"/>
        <w:widowControl w:val="0"/>
      </w:pPr>
      <w:r w:rsidRPr="003D217F">
        <w:t>Refusal to Participate</w:t>
      </w:r>
    </w:p>
    <w:p w:rsidR="00BE5B0D" w:rsidRPr="003D217F" w:rsidP="00BE5B0D" w14:paraId="4B64EFAC" w14:textId="77777777">
      <w:pPr>
        <w:pStyle w:val="bulletdashp"/>
        <w:widowControl w:val="0"/>
      </w:pPr>
      <w:r w:rsidRPr="003D217F">
        <w:t>Family Medical Leave</w:t>
      </w:r>
    </w:p>
    <w:p w:rsidR="00BE5B0D" w:rsidP="00BE5B0D" w14:paraId="7A4B86CD" w14:textId="7CBED81B">
      <w:pPr>
        <w:pStyle w:val="bodyp"/>
        <w:widowControl w:val="0"/>
      </w:pPr>
      <w:r>
        <w:t xml:space="preserve">If you have any uncertainty or questions regarding the content of these policies, you are required to consult your supervisor. This should be done prior to signing and agreeing to the </w:t>
      </w:r>
      <w:r w:rsidRPr="00B52426" w:rsidR="00B52426">
        <w:rPr>
          <w:color w:val="auto"/>
        </w:rPr>
        <w:t xml:space="preserve"> </w:t>
      </w:r>
      <w:r w:rsidR="00C8746B">
        <w:t>RTW</w:t>
      </w:r>
      <w:r>
        <w:t xml:space="preserve"> </w:t>
      </w:r>
      <w:r w:rsidR="00C16BD2">
        <w:t>p</w:t>
      </w:r>
      <w:r>
        <w:t>olicy.</w:t>
      </w:r>
    </w:p>
    <w:p w:rsidR="00C16BD2" w:rsidP="00BE5B0D" w14:paraId="57CDA4F8" w14:textId="77777777">
      <w:pPr>
        <w:pStyle w:val="bodyp"/>
        <w:widowControl w:val="0"/>
      </w:pPr>
    </w:p>
    <w:p w:rsidR="00C16BD2" w:rsidP="00BE5B0D" w14:paraId="1DF3891A" w14:textId="77777777">
      <w:pPr>
        <w:pStyle w:val="bodyp"/>
        <w:widowControl w:val="0"/>
      </w:pPr>
    </w:p>
    <w:p w:rsidR="00C16BD2" w:rsidP="00BE5B0D" w14:paraId="3E362BA0" w14:textId="77777777">
      <w:pPr>
        <w:pStyle w:val="bodyp"/>
        <w:widowControl w:val="0"/>
      </w:pPr>
    </w:p>
    <w:p w:rsidR="00C16BD2" w:rsidP="00BE5B0D" w14:paraId="7A3BC953" w14:textId="77777777">
      <w:pPr>
        <w:pStyle w:val="bodyp"/>
        <w:widowControl w:val="0"/>
      </w:pPr>
    </w:p>
    <w:p w:rsidR="00BE5B0D" w:rsidP="00BE5B0D" w14:paraId="3E7F6733" w14:textId="512BFE64">
      <w:pPr>
        <w:pStyle w:val="bodyp"/>
        <w:widowControl w:val="0"/>
      </w:pPr>
      <w:r>
        <w:t xml:space="preserve">I am aware of and have read </w:t>
      </w:r>
      <w:r>
        <w:t xml:space="preserve">’s </w:t>
      </w:r>
      <w:r w:rsidR="00C8746B">
        <w:t>RTW</w:t>
      </w:r>
      <w:r>
        <w:t xml:space="preserve"> </w:t>
      </w:r>
      <w:r w:rsidR="00C16BD2">
        <w:t>p</w:t>
      </w:r>
      <w:r>
        <w:t>olicy, and I understand the requirements and expectations of me as an employee. Should I become injured or ill and unable to carry out my regular duties</w:t>
      </w:r>
      <w:r w:rsidR="003C6A2C">
        <w:t xml:space="preserve"> due to a work-related incident</w:t>
      </w:r>
      <w:r w:rsidR="00C16BD2">
        <w:t>,</w:t>
      </w:r>
      <w:r>
        <w:t xml:space="preserve"> I fully recognize </w:t>
      </w:r>
      <w:r>
        <w:t xml:space="preserve">’s </w:t>
      </w:r>
      <w:r>
        <w:t>expectations of me</w:t>
      </w:r>
      <w:r>
        <w:t xml:space="preserve"> during my recovery. </w:t>
      </w:r>
    </w:p>
    <w:p w:rsidR="00C16BD2" w:rsidP="00BE5B0D" w14:paraId="4A927DD5" w14:textId="1FF7F976">
      <w:pPr>
        <w:pStyle w:val="bodyp"/>
        <w:widowControl w:val="0"/>
      </w:pPr>
      <w:r>
        <w:t xml:space="preserve">I understand that if I choose not to participate in the </w:t>
      </w:r>
      <w:r w:rsidR="00C8746B">
        <w:t>RTW</w:t>
      </w:r>
      <w:r>
        <w:t xml:space="preserve"> </w:t>
      </w:r>
      <w:r>
        <w:t xml:space="preserve">program </w:t>
      </w:r>
      <w:r>
        <w:t>or follow this policy’s guidelines, I may become ineligible for state workers’ compensation benefits</w:t>
      </w:r>
      <w:r w:rsidR="004A7D8E">
        <w:t>,</w:t>
      </w:r>
      <w:r>
        <w:t xml:space="preserve"> and, in some cases, my refusal may be grounds for termination.</w:t>
      </w:r>
    </w:p>
    <w:p w:rsidR="00BE5B0D" w:rsidP="00BE5B0D" w14:paraId="471B6A2E" w14:textId="77777777">
      <w:pPr>
        <w:pStyle w:val="bodyp"/>
        <w:widowControl w:val="0"/>
      </w:pPr>
    </w:p>
    <w:p w:rsidR="00BE5B0D" w:rsidP="00BE5B0D" w14:paraId="01C54101" w14:textId="77777777">
      <w:pPr>
        <w:pStyle w:val="bodyp"/>
        <w:widowControl w:val="0"/>
      </w:pPr>
    </w:p>
    <w:p w:rsidR="00BE5B0D" w:rsidP="00BE5B0D" w14:paraId="075B721F" w14:textId="77777777">
      <w:pPr>
        <w:pStyle w:val="bodyp"/>
        <w:widowControl w:val="0"/>
      </w:pPr>
      <w:r>
        <w:t xml:space="preserve">Employee Signature: __________________________________________ </w:t>
      </w:r>
      <w:r>
        <w:tab/>
      </w:r>
    </w:p>
    <w:p w:rsidR="00BE5B0D" w:rsidP="00BE5B0D" w14:paraId="5A35CFED" w14:textId="77777777">
      <w:pPr>
        <w:pStyle w:val="bodyp"/>
        <w:widowControl w:val="0"/>
      </w:pPr>
    </w:p>
    <w:p w:rsidR="00BE5B0D" w:rsidP="00BE5B0D" w14:paraId="5D769E90" w14:textId="77777777">
      <w:pPr>
        <w:pStyle w:val="bodyp"/>
        <w:widowControl w:val="0"/>
      </w:pPr>
    </w:p>
    <w:p w:rsidR="00BE5B0D" w:rsidP="00BE5B0D" w14:paraId="2AADE550" w14:textId="77777777">
      <w:pPr>
        <w:pStyle w:val="bodyp"/>
        <w:widowControl w:val="0"/>
      </w:pPr>
    </w:p>
    <w:p w:rsidR="00BE5B0D" w:rsidRPr="003D217F" w:rsidP="00BE5B0D" w14:paraId="5F06A375" w14:textId="32EC7593">
      <w:pPr>
        <w:pStyle w:val="bodyp"/>
        <w:widowControl w:val="0"/>
      </w:pPr>
      <w:r>
        <w:t>Date: ____________________________</w:t>
      </w:r>
    </w:p>
    <w:sectPr w:rsidSect="00CB0F26">
      <w:headerReference w:type="first" r:id="rId8"/>
      <w:footerReference w:type="first" r:id="rId9"/>
      <w:pgSz w:w="12240" w:h="15840" w:code="1"/>
      <w:pgMar w:top="1080" w:right="1080" w:bottom="1627"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66" w:rsidRPr="00024739" w14:paraId="419EAE77" w14:textId="06D0BE94">
    <w:pPr>
      <w:pStyle w:val="Footer"/>
      <w:jc w:val="right"/>
      <w:rPr>
        <w:rFonts w:ascii="Arial" w:hAnsi="Arial" w:cs="Arial"/>
        <w:sz w:val="18"/>
      </w:rPr>
    </w:pPr>
    <w:r>
      <w:rPr>
        <w:noProof/>
      </w:rPr>
      <mc:AlternateContent>
        <mc:Choice Requires="wps">
          <w:drawing>
            <wp:anchor distT="0" distB="0" distL="114300" distR="114300" simplePos="0" relativeHeight="251660288" behindDoc="0" locked="0" layoutInCell="1" allowOverlap="1">
              <wp:simplePos x="0" y="0"/>
              <wp:positionH relativeFrom="page">
                <wp:posOffset>695325</wp:posOffset>
              </wp:positionH>
              <wp:positionV relativeFrom="page">
                <wp:posOffset>9213215</wp:posOffset>
              </wp:positionV>
              <wp:extent cx="6400800" cy="0"/>
              <wp:effectExtent l="19050" t="21590" r="19050" b="26035"/>
              <wp:wrapNone/>
              <wp:docPr id="598918897"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straightConnector1">
                        <a:avLst/>
                      </a:prstGeom>
                      <a:noFill/>
                      <a:ln w="3810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7in;height:0;margin-top:725.45pt;margin-left:5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strokecolor="#404040" strokeweight="3pt"/>
          </w:pict>
        </mc:Fallback>
      </mc:AlternateContent>
    </w:r>
    <w:r w:rsidRPr="00024739">
      <w:rPr>
        <w:rFonts w:ascii="Arial" w:hAnsi="Arial" w:cs="Arial"/>
        <w:sz w:val="18"/>
      </w:rPr>
      <w:fldChar w:fldCharType="begin"/>
    </w:r>
    <w:r w:rsidRPr="00024739">
      <w:rPr>
        <w:rFonts w:ascii="Arial" w:hAnsi="Arial" w:cs="Arial"/>
        <w:sz w:val="18"/>
      </w:rPr>
      <w:instrText xml:space="preserve"> PAGE   \* MERGEFORMAT </w:instrText>
    </w:r>
    <w:r w:rsidRPr="00024739">
      <w:rPr>
        <w:rFonts w:ascii="Arial" w:hAnsi="Arial" w:cs="Arial"/>
        <w:sz w:val="18"/>
      </w:rPr>
      <w:fldChar w:fldCharType="separate"/>
    </w:r>
    <w:r w:rsidR="008A2DCD">
      <w:rPr>
        <w:rFonts w:ascii="Arial" w:hAnsi="Arial" w:cs="Arial"/>
        <w:noProof/>
        <w:sz w:val="18"/>
      </w:rPr>
      <w:t>3</w:t>
    </w:r>
    <w:r w:rsidRPr="00024739">
      <w:rPr>
        <w:rFonts w:ascii="Arial" w:hAnsi="Arial" w:cs="Arial"/>
        <w:noProof/>
        <w:sz w:val="18"/>
      </w:rPr>
      <w:fldChar w:fldCharType="end"/>
    </w:r>
  </w:p>
  <w:p w:rsidR="00D45F66" w14:paraId="7F97F3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66" w:rsidP="00BE5B0D" w14:paraId="4BCCB5FA" w14:textId="087CD276">
    <w:pPr>
      <w:pStyle w:val="Footer"/>
      <w:tabs>
        <w:tab w:val="left" w:pos="1080"/>
      </w:tabs>
      <w:spacing w:after="60"/>
      <w:rPr>
        <w:rFonts w:ascii="Arial" w:hAnsi="Arial" w:cs="Arial"/>
        <w:color w:val="404040"/>
        <w:sz w:val="18"/>
        <w:szCs w:val="16"/>
      </w:rPr>
    </w:pPr>
    <w:r>
      <w:rPr>
        <w:rFonts w:ascii="Arial" w:hAnsi="Arial" w:cs="Arial"/>
        <w:noProof/>
        <w:color w:val="404040"/>
        <w:sz w:val="18"/>
        <w:szCs w:val="16"/>
      </w:rPr>
      <mc:AlternateContent>
        <mc:Choice Requires="wps">
          <w:drawing>
            <wp:anchor distT="0" distB="0" distL="114300" distR="114300" simplePos="0" relativeHeight="251658240" behindDoc="0" locked="0" layoutInCell="1" allowOverlap="1">
              <wp:simplePos x="0" y="0"/>
              <wp:positionH relativeFrom="page">
                <wp:posOffset>685800</wp:posOffset>
              </wp:positionH>
              <wp:positionV relativeFrom="page">
                <wp:posOffset>9060815</wp:posOffset>
              </wp:positionV>
              <wp:extent cx="6400800" cy="0"/>
              <wp:effectExtent l="19050" t="21590" r="19050" b="26035"/>
              <wp:wrapNone/>
              <wp:docPr id="435887372"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straightConnector1">
                        <a:avLst/>
                      </a:prstGeom>
                      <a:noFill/>
                      <a:ln w="3810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2052" type="#_x0000_t32" style="width:7in;height:0;margin-top:713.45pt;margin-left:54pt;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strokecolor="#404040" strokeweight="3pt"/>
          </w:pict>
        </mc:Fallback>
      </mc:AlternateContent>
    </w:r>
  </w:p>
  <w:p w:rsidR="00D45F66" w:rsidRPr="00E11ADA" w:rsidP="00BE5B0D" w14:paraId="23B9BCCD" w14:textId="642A780D">
    <w:pPr>
      <w:pStyle w:val="Footer"/>
      <w:tabs>
        <w:tab w:val="left" w:pos="1080"/>
      </w:tabs>
      <w:rPr>
        <w:rFonts w:ascii="Arial" w:hAnsi="Arial" w:cs="Arial"/>
        <w:color w:val="808080"/>
        <w:sz w:val="12"/>
        <w:szCs w:val="14"/>
      </w:rPr>
    </w:pPr>
    <w:r w:rsidRPr="003D217F">
      <w:rPr>
        <w:rFonts w:ascii="Arial" w:hAnsi="Arial" w:cs="Arial"/>
        <w:i/>
        <w:color w:val="808080"/>
        <w:sz w:val="12"/>
        <w:szCs w:val="16"/>
      </w:rPr>
      <w:t xml:space="preserve">This </w:t>
    </w:r>
    <w:r w:rsidRPr="003D217F">
      <w:rPr>
        <w:rFonts w:ascii="Arial" w:hAnsi="Arial" w:cs="Arial"/>
        <w:i/>
        <w:color w:val="808080"/>
        <w:sz w:val="12"/>
        <w:szCs w:val="16"/>
      </w:rPr>
      <w:t>Return to Work</w:t>
    </w:r>
    <w:r w:rsidRPr="003D217F">
      <w:rPr>
        <w:rFonts w:ascii="Arial" w:hAnsi="Arial" w:cs="Arial"/>
        <w:i/>
        <w:color w:val="808080"/>
        <w:sz w:val="12"/>
        <w:szCs w:val="16"/>
      </w:rPr>
      <w:t xml:space="preserve"> Policy is a guideline. It does not address potential compliance issues with Federal, State or local OSHA or any other regulatory agency standards. Nor is it meant to be exhaustive or construed as legal advice. Consult your licensed commercial Property and Casualty representative at </w:t>
    </w:r>
    <w:r w:rsidR="00D2612F">
      <w:rPr>
        <w:rFonts w:ascii="Arial" w:hAnsi="Arial" w:cs="Arial"/>
        <w:i/>
        <w:color w:val="808080"/>
        <w:sz w:val="12"/>
        <w:szCs w:val="16"/>
      </w:rPr>
      <w:t>Bitner Henry Insurance Group</w:t>
    </w:r>
    <w:r w:rsidR="00512E2A">
      <w:rPr>
        <w:rFonts w:ascii="Arial" w:hAnsi="Arial" w:cs="Arial"/>
        <w:i/>
        <w:color w:val="808080"/>
        <w:sz w:val="12"/>
        <w:szCs w:val="16"/>
      </w:rPr>
      <w:t xml:space="preserve"> </w:t>
    </w:r>
    <w:r w:rsidRPr="003D217F">
      <w:rPr>
        <w:rFonts w:ascii="Arial" w:hAnsi="Arial" w:cs="Arial"/>
        <w:i/>
        <w:color w:val="808080"/>
        <w:sz w:val="12"/>
        <w:szCs w:val="16"/>
      </w:rPr>
      <w:t>or legal counsel to address possible compliance requirements.</w:t>
    </w:r>
    <w:r>
      <w:rPr>
        <w:rFonts w:ascii="Arial" w:hAnsi="Arial" w:cs="Arial"/>
        <w:i/>
        <w:color w:val="808080"/>
        <w:sz w:val="12"/>
        <w:szCs w:val="16"/>
      </w:rPr>
      <w:t xml:space="preserve"> © 2000, 2015</w:t>
    </w:r>
    <w:r w:rsidR="00D77E1A">
      <w:rPr>
        <w:rFonts w:ascii="Arial" w:hAnsi="Arial" w:cs="Arial"/>
        <w:i/>
        <w:color w:val="808080"/>
        <w:sz w:val="12"/>
        <w:szCs w:val="16"/>
      </w:rPr>
      <w:t>, 2024</w:t>
    </w:r>
    <w:r>
      <w:rPr>
        <w:rFonts w:ascii="Arial" w:hAnsi="Arial" w:cs="Arial"/>
        <w:i/>
        <w:color w:val="808080"/>
        <w:sz w:val="12"/>
        <w:szCs w:val="16"/>
      </w:rPr>
      <w:t xml:space="preserve"> Zywave,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66" w:rsidRPr="003D217F" w:rsidP="00BE5B0D" w14:paraId="03F0B9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66" w:rsidRPr="00D205C0" w:rsidP="00BE5B0D" w14:paraId="46D32E8B" w14:textId="19B5E17B">
    <w:pPr>
      <w:pStyle w:val="Header"/>
      <w:tabs>
        <w:tab w:val="left" w:pos="8100"/>
      </w:tabs>
      <w:ind w:left="1620"/>
      <w:rPr>
        <w:rFonts w:ascii="Arial" w:hAnsi="Arial" w:cs="Arial"/>
        <w:b/>
        <w:color w:val="404040"/>
      </w:rPr>
    </w:pPr>
    <w:r>
      <w:rPr>
        <w:rFonts w:ascii="Arial" w:hAnsi="Arial" w:cs="Arial"/>
        <w:b/>
        <w:noProof/>
        <w:color w:val="404040"/>
        <w:sz w:val="20"/>
      </w:rPr>
      <mc:AlternateContent>
        <mc:Choice Requires="wps">
          <w:drawing>
            <wp:anchor distT="0" distB="0" distL="114300" distR="114300" simplePos="0" relativeHeight="251660288" behindDoc="1" locked="0" layoutInCell="1" allowOverlap="1">
              <wp:simplePos x="0" y="0"/>
              <wp:positionH relativeFrom="margin">
                <wp:posOffset>-681355</wp:posOffset>
              </wp:positionH>
              <wp:positionV relativeFrom="margin">
                <wp:posOffset>-685800</wp:posOffset>
              </wp:positionV>
              <wp:extent cx="7772400" cy="2194560"/>
              <wp:effectExtent l="4445" t="0" r="0" b="0"/>
              <wp:wrapNone/>
              <wp:docPr id="166665292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72400" cy="2194560"/>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70C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50" style="width:612pt;height:172.8pt;margin-top:-54pt;margin-left:-53.65pt;mso-height-percent:0;mso-height-relative:page;mso-position-horizontal-relative:margin;mso-position-vertical-relative:margin;mso-width-percent:0;mso-width-relative:page;mso-wrap-distance-bottom:0;mso-wrap-distance-left:9pt;mso-wrap-distance-right:9pt;mso-wrap-distance-top:0;mso-wrap-style:square;position:absolute;v-text-anchor:top;visibility:visible;z-index:-251655168" fillcolor="#f2f2f2" stroked="f" strokecolor="#0070c0">
              <w10:wrap anchorx="margin" anchory="margin"/>
            </v:rect>
          </w:pict>
        </mc:Fallback>
      </mc:AlternateContent>
    </w:r>
    <w:r>
      <w:rPr>
        <w:rFonts w:ascii="Arial" w:hAnsi="Arial" w:cs="Arial"/>
        <w:b/>
        <w:noProof/>
        <w:color w:val="404040"/>
        <w:sz w:val="20"/>
      </w:rPr>
      <mc:AlternateContent>
        <mc:Choice Requires="wps">
          <w:drawing>
            <wp:anchor distT="0" distB="0" distL="114300" distR="114300" simplePos="0" relativeHeight="251658240" behindDoc="0" locked="0" layoutInCell="1" allowOverlap="1">
              <wp:simplePos x="0" y="0"/>
              <wp:positionH relativeFrom="page">
                <wp:posOffset>685800</wp:posOffset>
              </wp:positionH>
              <wp:positionV relativeFrom="page">
                <wp:posOffset>457200</wp:posOffset>
              </wp:positionV>
              <wp:extent cx="895350" cy="262255"/>
              <wp:effectExtent l="19050" t="19050" r="19050" b="23495"/>
              <wp:wrapNone/>
              <wp:docPr id="190640900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5350" cy="262255"/>
                      </a:xfrm>
                      <a:prstGeom prst="rect">
                        <a:avLst/>
                      </a:prstGeom>
                      <a:noFill/>
                      <a:ln w="38100">
                        <a:solidFill>
                          <a:srgbClr val="40404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45F66" w:rsidRPr="00033B5A" w:rsidP="00BE5B0D" w14:textId="77777777">
                          <w:pPr>
                            <w:ind w:right="-51"/>
                            <w:rPr>
                              <w:rFonts w:ascii="Arial" w:hAnsi="Arial" w:cs="Arial"/>
                              <w:b/>
                              <w:color w:val="404040"/>
                              <w:sz w:val="32"/>
                              <w:szCs w:val="32"/>
                            </w:rPr>
                          </w:pPr>
                          <w:r w:rsidRPr="00033B5A">
                            <w:rPr>
                              <w:rFonts w:ascii="Arial" w:hAnsi="Arial" w:cs="Arial"/>
                              <w:b/>
                              <w:color w:val="404040"/>
                              <w:sz w:val="32"/>
                              <w:szCs w:val="32"/>
                            </w:rPr>
                            <w:t>POLICY</w:t>
                          </w:r>
                        </w:p>
                      </w:txbxContent>
                    </wps:txbx>
                    <wps:bodyPr rot="0" vert="horz" wrap="square" lIns="45720" tIns="0" rIns="4572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70.5pt;height:20.65pt;margin-top:36pt;margin-left:54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9264" filled="f" strokecolor="#404040" strokeweight="3pt">
              <v:textbox inset="3.6pt,0,3.6pt,0">
                <w:txbxContent>
                  <w:p w:rsidR="00D45F66" w:rsidRPr="00033B5A" w:rsidP="00BE5B0D" w14:paraId="1CB996F3" w14:textId="77777777">
                    <w:pPr>
                      <w:ind w:right="-51"/>
                      <w:rPr>
                        <w:rFonts w:ascii="Arial" w:hAnsi="Arial" w:cs="Arial"/>
                        <w:b/>
                        <w:color w:val="404040"/>
                        <w:sz w:val="32"/>
                        <w:szCs w:val="32"/>
                      </w:rPr>
                    </w:pPr>
                    <w:r w:rsidRPr="00033B5A">
                      <w:rPr>
                        <w:rFonts w:ascii="Arial" w:hAnsi="Arial" w:cs="Arial"/>
                        <w:b/>
                        <w:color w:val="404040"/>
                        <w:sz w:val="32"/>
                        <w:szCs w:val="32"/>
                      </w:rPr>
                      <w:t>POLICY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66" w:rsidRPr="003D217F" w:rsidP="00BE5B0D" w14:paraId="61AC9B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639FC"/>
    <w:multiLevelType w:val="hybridMultilevel"/>
    <w:tmpl w:val="E2CC4AFA"/>
    <w:lvl w:ilvl="0">
      <w:start w:val="0"/>
      <w:numFmt w:val="bullet"/>
      <w:pStyle w:val="dashp"/>
      <w:lvlText w:val="-"/>
      <w:lvlJc w:val="left"/>
      <w:pPr>
        <w:ind w:left="1080" w:hanging="360"/>
      </w:pPr>
      <w:rPr>
        <w:rFonts w:ascii="Verdana" w:eastAsia="Times New Roman" w:hAnsi="Verdan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08F432E"/>
    <w:multiLevelType w:val="hybridMultilevel"/>
    <w:tmpl w:val="0D2A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C14515"/>
    <w:multiLevelType w:val="hybridMultilevel"/>
    <w:tmpl w:val="E8349B28"/>
    <w:lvl w:ilvl="0">
      <w:start w:val="0"/>
      <w:numFmt w:val="bullet"/>
      <w:pStyle w:val="Bullet1"/>
      <w:lvlText w:val="-"/>
      <w:lvlJc w:val="left"/>
      <w:pPr>
        <w:ind w:left="36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80022F"/>
    <w:multiLevelType w:val="hybridMultilevel"/>
    <w:tmpl w:val="F2FC3222"/>
    <w:lvl w:ilvl="0">
      <w:start w:val="1"/>
      <w:numFmt w:val="decimal"/>
      <w:lvlText w:val="%1."/>
      <w:lvlJc w:val="left"/>
      <w:pPr>
        <w:ind w:left="36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D72B65"/>
    <w:multiLevelType w:val="hybridMultilevel"/>
    <w:tmpl w:val="B4860B8E"/>
    <w:lvl w:ilvl="0">
      <w:start w:val="1"/>
      <w:numFmt w:val="bullet"/>
      <w:pStyle w:val="subbulletdashp"/>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7E1340"/>
    <w:multiLevelType w:val="hybridMultilevel"/>
    <w:tmpl w:val="8CFE67C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175304"/>
    <w:multiLevelType w:val="hybridMultilevel"/>
    <w:tmpl w:val="35CA0FFA"/>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442D39"/>
    <w:multiLevelType w:val="hybridMultilevel"/>
    <w:tmpl w:val="BE847F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C9139BD"/>
    <w:multiLevelType w:val="hybridMultilevel"/>
    <w:tmpl w:val="8FC63A56"/>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5F02A6"/>
    <w:multiLevelType w:val="hybridMultilevel"/>
    <w:tmpl w:val="ADDEC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142096">
    <w:abstractNumId w:val="0"/>
  </w:num>
  <w:num w:numId="2" w16cid:durableId="1831090663">
    <w:abstractNumId w:val="2"/>
  </w:num>
  <w:num w:numId="3" w16cid:durableId="602150541">
    <w:abstractNumId w:val="4"/>
  </w:num>
  <w:num w:numId="4" w16cid:durableId="278613270">
    <w:abstractNumId w:val="7"/>
  </w:num>
  <w:num w:numId="5" w16cid:durableId="331228564">
    <w:abstractNumId w:val="1"/>
  </w:num>
  <w:num w:numId="6" w16cid:durableId="589042823">
    <w:abstractNumId w:val="6"/>
  </w:num>
  <w:num w:numId="7" w16cid:durableId="389889646">
    <w:abstractNumId w:val="8"/>
  </w:num>
  <w:num w:numId="8" w16cid:durableId="1004208332">
    <w:abstractNumId w:val="9"/>
  </w:num>
  <w:num w:numId="9" w16cid:durableId="1174414419">
    <w:abstractNumId w:val="5"/>
  </w:num>
  <w:num w:numId="10" w16cid:durableId="961109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17"/>
    <w:rsid w:val="00024739"/>
    <w:rsid w:val="00033B5A"/>
    <w:rsid w:val="000476F2"/>
    <w:rsid w:val="00056692"/>
    <w:rsid w:val="0008138F"/>
    <w:rsid w:val="00085ED4"/>
    <w:rsid w:val="000B78B6"/>
    <w:rsid w:val="000C777D"/>
    <w:rsid w:val="000D3451"/>
    <w:rsid w:val="000E6C90"/>
    <w:rsid w:val="001363FB"/>
    <w:rsid w:val="00153B72"/>
    <w:rsid w:val="00161FB1"/>
    <w:rsid w:val="001A3C0E"/>
    <w:rsid w:val="001D7AE8"/>
    <w:rsid w:val="001E4C34"/>
    <w:rsid w:val="001F7E1F"/>
    <w:rsid w:val="00226221"/>
    <w:rsid w:val="0024336C"/>
    <w:rsid w:val="002435F2"/>
    <w:rsid w:val="002B79DE"/>
    <w:rsid w:val="002E54BB"/>
    <w:rsid w:val="002F73BD"/>
    <w:rsid w:val="0032369D"/>
    <w:rsid w:val="00327F58"/>
    <w:rsid w:val="003A0C1B"/>
    <w:rsid w:val="003A355E"/>
    <w:rsid w:val="003C6A2C"/>
    <w:rsid w:val="003D217F"/>
    <w:rsid w:val="003D7974"/>
    <w:rsid w:val="003E16AE"/>
    <w:rsid w:val="003F4D28"/>
    <w:rsid w:val="00416D4D"/>
    <w:rsid w:val="00437B1B"/>
    <w:rsid w:val="004416B6"/>
    <w:rsid w:val="0046061F"/>
    <w:rsid w:val="004679F9"/>
    <w:rsid w:val="004842E2"/>
    <w:rsid w:val="004862A8"/>
    <w:rsid w:val="004A1291"/>
    <w:rsid w:val="004A7D8E"/>
    <w:rsid w:val="004F423C"/>
    <w:rsid w:val="00512E2A"/>
    <w:rsid w:val="00532017"/>
    <w:rsid w:val="00540744"/>
    <w:rsid w:val="00584977"/>
    <w:rsid w:val="00587F15"/>
    <w:rsid w:val="005940A3"/>
    <w:rsid w:val="005D3AF8"/>
    <w:rsid w:val="005D3E60"/>
    <w:rsid w:val="005F2301"/>
    <w:rsid w:val="005F6EB7"/>
    <w:rsid w:val="00627AF7"/>
    <w:rsid w:val="00654CA8"/>
    <w:rsid w:val="00670463"/>
    <w:rsid w:val="00693093"/>
    <w:rsid w:val="00715C1D"/>
    <w:rsid w:val="00725D8A"/>
    <w:rsid w:val="007318B1"/>
    <w:rsid w:val="00736A9F"/>
    <w:rsid w:val="00754F75"/>
    <w:rsid w:val="007F12DA"/>
    <w:rsid w:val="0081617F"/>
    <w:rsid w:val="00855D0F"/>
    <w:rsid w:val="00861F61"/>
    <w:rsid w:val="008A2DCD"/>
    <w:rsid w:val="008A4E49"/>
    <w:rsid w:val="008C0BF0"/>
    <w:rsid w:val="008C42A6"/>
    <w:rsid w:val="008E076F"/>
    <w:rsid w:val="00901178"/>
    <w:rsid w:val="009117AB"/>
    <w:rsid w:val="00911877"/>
    <w:rsid w:val="009257FF"/>
    <w:rsid w:val="0092774D"/>
    <w:rsid w:val="009669BC"/>
    <w:rsid w:val="0098554C"/>
    <w:rsid w:val="00987386"/>
    <w:rsid w:val="009A3ECD"/>
    <w:rsid w:val="009B785C"/>
    <w:rsid w:val="009D4B0A"/>
    <w:rsid w:val="00A1755C"/>
    <w:rsid w:val="00AA6857"/>
    <w:rsid w:val="00AB0CD4"/>
    <w:rsid w:val="00AB3C19"/>
    <w:rsid w:val="00B01968"/>
    <w:rsid w:val="00B11E59"/>
    <w:rsid w:val="00B20027"/>
    <w:rsid w:val="00B52426"/>
    <w:rsid w:val="00B5560B"/>
    <w:rsid w:val="00B62636"/>
    <w:rsid w:val="00B956B9"/>
    <w:rsid w:val="00BB2227"/>
    <w:rsid w:val="00BE5B0D"/>
    <w:rsid w:val="00C16BD2"/>
    <w:rsid w:val="00C8746B"/>
    <w:rsid w:val="00C91FEC"/>
    <w:rsid w:val="00C96A60"/>
    <w:rsid w:val="00CA6056"/>
    <w:rsid w:val="00CB0F26"/>
    <w:rsid w:val="00CC2E65"/>
    <w:rsid w:val="00CF3447"/>
    <w:rsid w:val="00D205C0"/>
    <w:rsid w:val="00D2612F"/>
    <w:rsid w:val="00D402A5"/>
    <w:rsid w:val="00D45F66"/>
    <w:rsid w:val="00D77E1A"/>
    <w:rsid w:val="00DB7BA2"/>
    <w:rsid w:val="00DC7930"/>
    <w:rsid w:val="00DF6D14"/>
    <w:rsid w:val="00E11ADA"/>
    <w:rsid w:val="00E57225"/>
    <w:rsid w:val="00E62A57"/>
    <w:rsid w:val="00EC324A"/>
    <w:rsid w:val="00F12BBD"/>
    <w:rsid w:val="00F71194"/>
    <w:rsid w:val="00FA2677"/>
    <w:rsid w:val="00FE6571"/>
  </w:rsids>
  <w:docVars>
    <w:docVar w:name="__Grammarly_42___1" w:val="H4sIAAAAAAAEAKtWcslP9kxRslIyNDY2NTU1MLcwM7Y0MTY3NTJS0lEKTi0uzszPAykwrAUAVGUB8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9B100C7"/>
  <w15:chartTrackingRefBased/>
  <w15:docId w15:val="{FDAF64ED-14B6-4AF3-927B-DFFE57BB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CD5"/>
    <w:rPr>
      <w:sz w:val="24"/>
      <w:szCs w:val="24"/>
    </w:rPr>
  </w:style>
  <w:style w:type="paragraph" w:styleId="Heading1">
    <w:name w:val="heading 1"/>
    <w:basedOn w:val="Normal"/>
    <w:next w:val="Normal"/>
    <w:link w:val="Heading1Char"/>
    <w:qFormat/>
    <w:rsid w:val="00ED02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7EA8"/>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2378"/>
    <w:pPr>
      <w:keepNext/>
      <w:jc w:val="center"/>
      <w:outlineLvl w:val="3"/>
    </w:pPr>
    <w:rPr>
      <w:b/>
      <w:color w:val="0000FF"/>
      <w:sz w:val="32"/>
    </w:rPr>
  </w:style>
  <w:style w:type="paragraph" w:styleId="Heading7">
    <w:name w:val="heading 7"/>
    <w:basedOn w:val="Normal"/>
    <w:next w:val="Normal"/>
    <w:qFormat/>
    <w:rsid w:val="001E4B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03DB"/>
    <w:pPr>
      <w:tabs>
        <w:tab w:val="center" w:pos="4320"/>
        <w:tab w:val="right" w:pos="8640"/>
      </w:tabs>
    </w:pPr>
  </w:style>
  <w:style w:type="character" w:styleId="PageNumber">
    <w:name w:val="page number"/>
    <w:basedOn w:val="DefaultParagraphFont"/>
    <w:rsid w:val="00C903DB"/>
  </w:style>
  <w:style w:type="paragraph" w:styleId="Header">
    <w:name w:val="header"/>
    <w:basedOn w:val="Normal"/>
    <w:rsid w:val="00C903DB"/>
    <w:pPr>
      <w:tabs>
        <w:tab w:val="center" w:pos="4320"/>
        <w:tab w:val="right" w:pos="8640"/>
      </w:tabs>
    </w:pPr>
  </w:style>
  <w:style w:type="paragraph" w:styleId="BodyText2">
    <w:name w:val="Body Text 2"/>
    <w:basedOn w:val="Normal"/>
    <w:rsid w:val="006E3C01"/>
    <w:pPr>
      <w:jc w:val="both"/>
    </w:pPr>
    <w:rPr>
      <w:rFonts w:ascii="CG Times" w:hAnsi="CG Times"/>
    </w:rPr>
  </w:style>
  <w:style w:type="paragraph" w:styleId="Title">
    <w:name w:val="Title"/>
    <w:basedOn w:val="Normal"/>
    <w:link w:val="TitleChar"/>
    <w:qFormat/>
    <w:rsid w:val="005D3142"/>
    <w:pPr>
      <w:jc w:val="center"/>
    </w:pPr>
    <w:rPr>
      <w:rFonts w:ascii="Verdana" w:hAnsi="Verdana"/>
      <w:b/>
      <w:bCs/>
      <w:sz w:val="28"/>
      <w:szCs w:val="20"/>
    </w:rPr>
  </w:style>
  <w:style w:type="character" w:customStyle="1" w:styleId="TitleChar">
    <w:name w:val="Title Char"/>
    <w:link w:val="Title"/>
    <w:rsid w:val="005D3142"/>
    <w:rPr>
      <w:rFonts w:ascii="Verdana" w:hAnsi="Verdana"/>
      <w:b/>
      <w:bCs/>
      <w:sz w:val="28"/>
    </w:rPr>
  </w:style>
  <w:style w:type="paragraph" w:styleId="NormalWeb">
    <w:name w:val="Normal (Web)"/>
    <w:basedOn w:val="Normal"/>
    <w:rsid w:val="005D3142"/>
    <w:pPr>
      <w:widowControl w:val="0"/>
    </w:pPr>
    <w:rPr>
      <w:rFonts w:ascii="Arial" w:hAnsi="Arial"/>
      <w:sz w:val="22"/>
    </w:rPr>
  </w:style>
  <w:style w:type="character" w:customStyle="1" w:styleId="HTMLMarkup">
    <w:name w:val="HTML Markup"/>
    <w:rsid w:val="005D3142"/>
    <w:rPr>
      <w:vanish/>
      <w:color w:val="FF0000"/>
    </w:rPr>
  </w:style>
  <w:style w:type="character" w:customStyle="1" w:styleId="FooterChar">
    <w:name w:val="Footer Char"/>
    <w:link w:val="Footer"/>
    <w:uiPriority w:val="99"/>
    <w:rsid w:val="00E148FE"/>
    <w:rPr>
      <w:sz w:val="24"/>
      <w:szCs w:val="24"/>
    </w:rPr>
  </w:style>
  <w:style w:type="paragraph" w:styleId="BalloonText">
    <w:name w:val="Balloon Text"/>
    <w:basedOn w:val="Normal"/>
    <w:link w:val="BalloonTextChar"/>
    <w:rsid w:val="00E148FE"/>
    <w:rPr>
      <w:rFonts w:ascii="Tahoma" w:hAnsi="Tahoma" w:cs="Tahoma"/>
      <w:sz w:val="16"/>
      <w:szCs w:val="16"/>
    </w:rPr>
  </w:style>
  <w:style w:type="character" w:customStyle="1" w:styleId="BalloonTextChar">
    <w:name w:val="Balloon Text Char"/>
    <w:link w:val="BalloonText"/>
    <w:rsid w:val="00E148FE"/>
    <w:rPr>
      <w:rFonts w:ascii="Tahoma" w:hAnsi="Tahoma" w:cs="Tahoma"/>
      <w:sz w:val="16"/>
      <w:szCs w:val="16"/>
    </w:rPr>
  </w:style>
  <w:style w:type="character" w:styleId="CommentReference">
    <w:name w:val="annotation reference"/>
    <w:rsid w:val="00F326AD"/>
    <w:rPr>
      <w:sz w:val="16"/>
      <w:szCs w:val="16"/>
    </w:rPr>
  </w:style>
  <w:style w:type="paragraph" w:styleId="CommentText">
    <w:name w:val="annotation text"/>
    <w:basedOn w:val="Normal"/>
    <w:link w:val="CommentTextChar"/>
    <w:rsid w:val="00F326AD"/>
    <w:rPr>
      <w:sz w:val="20"/>
      <w:szCs w:val="20"/>
    </w:rPr>
  </w:style>
  <w:style w:type="character" w:customStyle="1" w:styleId="CommentTextChar">
    <w:name w:val="Comment Text Char"/>
    <w:basedOn w:val="DefaultParagraphFont"/>
    <w:link w:val="CommentText"/>
    <w:rsid w:val="00F326AD"/>
  </w:style>
  <w:style w:type="paragraph" w:styleId="CommentSubject">
    <w:name w:val="annotation subject"/>
    <w:basedOn w:val="CommentText"/>
    <w:next w:val="CommentText"/>
    <w:link w:val="CommentSubjectChar"/>
    <w:rsid w:val="00F326AD"/>
    <w:rPr>
      <w:b/>
      <w:bCs/>
    </w:rPr>
  </w:style>
  <w:style w:type="character" w:customStyle="1" w:styleId="CommentSubjectChar">
    <w:name w:val="Comment Subject Char"/>
    <w:link w:val="CommentSubject"/>
    <w:rsid w:val="00F326AD"/>
    <w:rPr>
      <w:b/>
      <w:bCs/>
    </w:rPr>
  </w:style>
  <w:style w:type="paragraph" w:styleId="Revision">
    <w:name w:val="Revision"/>
    <w:hidden/>
    <w:uiPriority w:val="99"/>
    <w:semiHidden/>
    <w:rsid w:val="00A360DA"/>
    <w:rPr>
      <w:sz w:val="24"/>
      <w:szCs w:val="24"/>
    </w:rPr>
  </w:style>
  <w:style w:type="paragraph" w:customStyle="1" w:styleId="Bullet1">
    <w:name w:val="Bullet 1"/>
    <w:basedOn w:val="Normal"/>
    <w:link w:val="Bullet1Char"/>
    <w:autoRedefine/>
    <w:rsid w:val="008A2DCD"/>
    <w:pPr>
      <w:numPr>
        <w:numId w:val="2"/>
      </w:numPr>
      <w:spacing w:after="160" w:line="220" w:lineRule="exact"/>
    </w:pPr>
    <w:rPr>
      <w:rFonts w:ascii="Arial" w:hAnsi="Arial" w:cs="Arial"/>
      <w:sz w:val="18"/>
      <w:szCs w:val="20"/>
    </w:rPr>
  </w:style>
  <w:style w:type="paragraph" w:customStyle="1" w:styleId="Dash2">
    <w:name w:val="Dash 2"/>
    <w:basedOn w:val="Normal"/>
    <w:link w:val="Dash2Char"/>
    <w:rsid w:val="008A2DCD"/>
    <w:pPr>
      <w:spacing w:after="60"/>
      <w:ind w:left="720" w:hanging="360"/>
    </w:pPr>
    <w:rPr>
      <w:rFonts w:ascii="Arial" w:hAnsi="Arial" w:cs="Arial"/>
      <w:sz w:val="18"/>
      <w:szCs w:val="20"/>
    </w:rPr>
  </w:style>
  <w:style w:type="character" w:customStyle="1" w:styleId="Bullet1Char">
    <w:name w:val="Bullet 1 Char"/>
    <w:link w:val="Bullet1"/>
    <w:rsid w:val="00386967"/>
    <w:rPr>
      <w:rFonts w:ascii="Arial" w:hAnsi="Arial" w:cs="Arial"/>
      <w:sz w:val="18"/>
    </w:rPr>
  </w:style>
  <w:style w:type="paragraph" w:customStyle="1" w:styleId="bodyp">
    <w:name w:val=".body p"/>
    <w:basedOn w:val="Normal"/>
    <w:link w:val="bodypChar"/>
    <w:qFormat/>
    <w:rsid w:val="000C4CBB"/>
    <w:pPr>
      <w:spacing w:after="120"/>
    </w:pPr>
    <w:rPr>
      <w:rFonts w:ascii="Arial" w:hAnsi="Arial" w:cs="Arial"/>
      <w:color w:val="404040"/>
      <w:sz w:val="18"/>
      <w:szCs w:val="20"/>
    </w:rPr>
  </w:style>
  <w:style w:type="character" w:customStyle="1" w:styleId="Dash2Char">
    <w:name w:val="Dash 2 Char"/>
    <w:link w:val="Dash2"/>
    <w:rsid w:val="009B5017"/>
    <w:rPr>
      <w:rFonts w:ascii="Arial" w:hAnsi="Arial" w:cs="Arial"/>
      <w:sz w:val="18"/>
    </w:rPr>
  </w:style>
  <w:style w:type="paragraph" w:customStyle="1" w:styleId="dashp">
    <w:name w:val=".dash p"/>
    <w:basedOn w:val="Normal"/>
    <w:link w:val="dashpChar"/>
    <w:rsid w:val="008A2DCD"/>
    <w:pPr>
      <w:numPr>
        <w:numId w:val="1"/>
      </w:numPr>
      <w:spacing w:before="40"/>
      <w:ind w:left="360" w:hanging="180"/>
    </w:pPr>
    <w:rPr>
      <w:rFonts w:ascii="Arial" w:hAnsi="Arial" w:cs="Arial"/>
      <w:color w:val="404040"/>
      <w:sz w:val="18"/>
      <w:szCs w:val="20"/>
    </w:rPr>
  </w:style>
  <w:style w:type="character" w:customStyle="1" w:styleId="bodypChar">
    <w:name w:val=".body p Char"/>
    <w:link w:val="bodyp"/>
    <w:rsid w:val="000C4CBB"/>
    <w:rPr>
      <w:rFonts w:ascii="Arial" w:hAnsi="Arial" w:cs="Arial"/>
      <w:color w:val="404040"/>
      <w:sz w:val="18"/>
    </w:rPr>
  </w:style>
  <w:style w:type="paragraph" w:customStyle="1" w:styleId="headerp">
    <w:name w:val=".header p"/>
    <w:basedOn w:val="Heading1"/>
    <w:link w:val="headerpChar"/>
    <w:qFormat/>
    <w:rsid w:val="000C4CBB"/>
    <w:pPr>
      <w:spacing w:after="120"/>
    </w:pPr>
    <w:rPr>
      <w:color w:val="404040"/>
      <w:sz w:val="20"/>
      <w:szCs w:val="20"/>
    </w:rPr>
  </w:style>
  <w:style w:type="character" w:customStyle="1" w:styleId="dashpChar">
    <w:name w:val=".dash p Char"/>
    <w:link w:val="dashp"/>
    <w:rsid w:val="000C4CBB"/>
    <w:rPr>
      <w:rFonts w:ascii="Arial" w:hAnsi="Arial" w:cs="Arial"/>
      <w:color w:val="404040"/>
      <w:sz w:val="18"/>
    </w:rPr>
  </w:style>
  <w:style w:type="paragraph" w:customStyle="1" w:styleId="bulletdashp">
    <w:name w:val=".bullet(dash) p"/>
    <w:basedOn w:val="Bullet1"/>
    <w:link w:val="bulletdashpChar"/>
    <w:qFormat/>
    <w:rsid w:val="000C4CBB"/>
    <w:rPr>
      <w:color w:val="404040"/>
    </w:rPr>
  </w:style>
  <w:style w:type="character" w:customStyle="1" w:styleId="Heading1Char">
    <w:name w:val="Heading 1 Char"/>
    <w:link w:val="Heading1"/>
    <w:rsid w:val="000C4CBB"/>
    <w:rPr>
      <w:rFonts w:ascii="Arial" w:hAnsi="Arial" w:cs="Arial"/>
      <w:b/>
      <w:bCs/>
      <w:kern w:val="32"/>
      <w:sz w:val="32"/>
      <w:szCs w:val="32"/>
    </w:rPr>
  </w:style>
  <w:style w:type="character" w:customStyle="1" w:styleId="headerpChar">
    <w:name w:val=".header p Char"/>
    <w:link w:val="headerp"/>
    <w:rsid w:val="000C4CBB"/>
    <w:rPr>
      <w:rFonts w:ascii="Arial" w:hAnsi="Arial" w:cs="Arial"/>
      <w:b/>
      <w:bCs/>
      <w:color w:val="404040"/>
      <w:kern w:val="32"/>
      <w:sz w:val="32"/>
      <w:szCs w:val="32"/>
    </w:rPr>
  </w:style>
  <w:style w:type="paragraph" w:customStyle="1" w:styleId="purposebulletsdashp">
    <w:name w:val=".purpose bullets(dash) p"/>
    <w:basedOn w:val="dashp"/>
    <w:link w:val="purposebulletsdashpChar"/>
    <w:qFormat/>
    <w:rsid w:val="004A327F"/>
  </w:style>
  <w:style w:type="character" w:customStyle="1" w:styleId="bulletdashpChar">
    <w:name w:val=".bullet(dash) p Char"/>
    <w:link w:val="bulletdashp"/>
    <w:rsid w:val="000C4CBB"/>
    <w:rPr>
      <w:rFonts w:ascii="Arial" w:hAnsi="Arial" w:cs="Arial"/>
      <w:color w:val="404040"/>
      <w:sz w:val="18"/>
    </w:rPr>
  </w:style>
  <w:style w:type="paragraph" w:customStyle="1" w:styleId="subbulletdashp">
    <w:name w:val=".sub bullet (dash) p"/>
    <w:basedOn w:val="Normal"/>
    <w:link w:val="subbulletdashpChar"/>
    <w:qFormat/>
    <w:rsid w:val="008A2DCD"/>
    <w:pPr>
      <w:numPr>
        <w:numId w:val="3"/>
      </w:numPr>
      <w:spacing w:after="120"/>
      <w:ind w:hanging="274"/>
    </w:pPr>
    <w:rPr>
      <w:rFonts w:ascii="Arial" w:hAnsi="Arial" w:cs="Arial"/>
      <w:color w:val="404040"/>
      <w:sz w:val="18"/>
      <w:szCs w:val="20"/>
    </w:rPr>
  </w:style>
  <w:style w:type="character" w:customStyle="1" w:styleId="purposebulletsdashpChar">
    <w:name w:val=".purpose bullets(dash) p Char"/>
    <w:basedOn w:val="dashpChar"/>
    <w:link w:val="purposebulletsdashp"/>
    <w:rsid w:val="004A327F"/>
    <w:rPr>
      <w:rFonts w:ascii="Arial" w:hAnsi="Arial" w:cs="Arial"/>
      <w:color w:val="404040"/>
      <w:sz w:val="18"/>
    </w:rPr>
  </w:style>
  <w:style w:type="paragraph" w:customStyle="1" w:styleId="policytitlep">
    <w:name w:val=".policy title p"/>
    <w:basedOn w:val="Normal"/>
    <w:link w:val="policytitlepChar"/>
    <w:qFormat/>
    <w:rsid w:val="004A327F"/>
    <w:pPr>
      <w:tabs>
        <w:tab w:val="left" w:pos="1080"/>
      </w:tabs>
      <w:spacing w:before="360" w:after="120" w:line="600" w:lineRule="exact"/>
      <w:ind w:right="4320"/>
    </w:pPr>
    <w:rPr>
      <w:rFonts w:ascii="Arial" w:hAnsi="Arial" w:cs="Arial"/>
      <w:b/>
      <w:noProof/>
      <w:color w:val="404040"/>
      <w:spacing w:val="-18"/>
      <w:sz w:val="56"/>
      <w:szCs w:val="64"/>
    </w:rPr>
  </w:style>
  <w:style w:type="character" w:customStyle="1" w:styleId="subbulletdashpChar">
    <w:name w:val=".sub bullet (dash) p Char"/>
    <w:link w:val="subbulletdashp"/>
    <w:rsid w:val="004A327F"/>
    <w:rPr>
      <w:rFonts w:ascii="Arial" w:hAnsi="Arial" w:cs="Arial"/>
      <w:color w:val="404040"/>
      <w:sz w:val="18"/>
    </w:rPr>
  </w:style>
  <w:style w:type="paragraph" w:customStyle="1" w:styleId="COfficialp">
    <w:name w:val=".C_Official p"/>
    <w:basedOn w:val="Normal"/>
    <w:link w:val="COfficialpChar"/>
    <w:qFormat/>
    <w:rsid w:val="004A327F"/>
    <w:pPr>
      <w:pBdr>
        <w:top w:val="single" w:sz="24" w:space="4" w:color="404040"/>
      </w:pBdr>
      <w:tabs>
        <w:tab w:val="left" w:pos="1080"/>
      </w:tabs>
      <w:spacing w:after="720"/>
    </w:pPr>
    <w:rPr>
      <w:rFonts w:ascii="Arial" w:hAnsi="Arial" w:cs="Arial"/>
      <w:color w:val="404040"/>
      <w:sz w:val="20"/>
      <w:szCs w:val="20"/>
    </w:rPr>
  </w:style>
  <w:style w:type="character" w:customStyle="1" w:styleId="policytitlepChar">
    <w:name w:val=".policy title p Char"/>
    <w:link w:val="policytitlep"/>
    <w:rsid w:val="004A327F"/>
    <w:rPr>
      <w:rFonts w:ascii="Arial" w:hAnsi="Arial" w:cs="Arial"/>
      <w:b/>
      <w:noProof/>
      <w:color w:val="404040"/>
      <w:spacing w:val="-18"/>
      <w:sz w:val="56"/>
      <w:szCs w:val="64"/>
    </w:rPr>
  </w:style>
  <w:style w:type="paragraph" w:customStyle="1" w:styleId="longpolicytitlep">
    <w:name w:val=".long policy title p"/>
    <w:basedOn w:val="policytitlep"/>
    <w:link w:val="longpolicytitlepChar"/>
    <w:qFormat/>
    <w:rsid w:val="00DB7BA2"/>
    <w:rPr>
      <w:sz w:val="40"/>
      <w:szCs w:val="40"/>
    </w:rPr>
  </w:style>
  <w:style w:type="character" w:customStyle="1" w:styleId="COfficialpChar">
    <w:name w:val=".C_Official p Char"/>
    <w:link w:val="COfficialp"/>
    <w:rsid w:val="004A327F"/>
    <w:rPr>
      <w:rFonts w:ascii="Arial" w:hAnsi="Arial" w:cs="Arial"/>
      <w:color w:val="404040"/>
    </w:rPr>
  </w:style>
  <w:style w:type="character" w:customStyle="1" w:styleId="longpolicytitlepChar">
    <w:name w:val=".long policy title p Char"/>
    <w:link w:val="longpolicytitlep"/>
    <w:rsid w:val="00DB7BA2"/>
    <w:rPr>
      <w:rFonts w:ascii="Arial" w:hAnsi="Arial" w:cs="Arial"/>
      <w:b/>
      <w:noProof/>
      <w:color w:val="404040"/>
      <w:spacing w:val="-1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A114-FF0E-42AA-9300-ED865D85817E}">
  <ds:schemaRefs>
    <ds:schemaRef ds:uri="http://schemas.openxmlformats.org/officeDocument/2006/bibliography"/>
  </ds:schemaRefs>
</ds:datastoreItem>
</file>

<file path=docMetadata/LabelInfo.xml><?xml version="1.0" encoding="utf-8"?>
<clbl:labelList xmlns:clbl="http://schemas.microsoft.com/office/2020/mipLabelMetadata">
  <clbl:label id="{b6e4ed5c-88d9-405d-a9a4-5110fdfd941d}"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1702</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Cell Phone/Hand Held Device Use Policy</vt:lpstr>
    </vt:vector>
  </TitlesOfParts>
  <Company>Zywave, Inc.</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Phone/Hand Held Device Use Policy</dc:title>
  <dc:creator>Kris Gilson</dc:creator>
  <cp:lastModifiedBy>Zyvoloski, Brendan</cp:lastModifiedBy>
  <cp:revision>5</cp:revision>
  <cp:lastPrinted>2013-05-28T23:13:00Z</cp:lastPrinted>
  <dcterms:created xsi:type="dcterms:W3CDTF">2025-01-14T22:58:00Z</dcterms:created>
  <dcterms:modified xsi:type="dcterms:W3CDTF">2025-01-14T23:01:00Z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-1414060598</vt:i4>
  </property>
  <property fmtid="{D5CDD505-2E9C-101B-9397-08002B2CF9AE}" pid="3" name="_AuthorEmail">
    <vt:lpwstr>Bryanne.Skolaski@zywave.com</vt:lpwstr>
  </property>
  <property fmtid="{D5CDD505-2E9C-101B-9397-08002B2CF9AE}" pid="4" name="_AuthorEmailDisplayName">
    <vt:lpwstr>Bryanne Skolaski</vt:lpwstr>
  </property>
  <property fmtid="{D5CDD505-2E9C-101B-9397-08002B2CF9AE}" pid="5" name="_EmailSubject">
    <vt:lpwstr>Fleet Safety</vt:lpwstr>
  </property>
  <property fmtid="{D5CDD505-2E9C-101B-9397-08002B2CF9AE}" pid="6" name="_ReviewingToolsShownOnce">
    <vt:lpwstr/>
  </property>
</Properties>
</file>